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qnrx-20260630x10q.htm"/>
        <w:bookmarkStart w:id="1" w:name="ksqnrx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pBdr>
        <w:bidi w:val="0"/>
        <w:spacing w:before="0" w:after="0"/>
        <w:ind w:left="0" w:right="0" w:hanging="0"/>
        <w:jc w:val="center"/>
        <w:rPr/>
      </w:pPr>
      <w:bookmarkStart w:id="2" w:name="_810784fd_466a_490b_acdc_6e8a1ec07e48"/>
      <w:bookmarkEnd w:id="2"/>
      <w:r>
        <w:rPr/>
        <w:t>​</w:t>
      </w:r>
    </w:p>
    <w:p>
      <w:pPr>
        <w:pStyle w:val="TextBody"/>
        <w:pBdr>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 STATES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AND EXCHANGE COMMISSION</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0"/>
        <w:ind w:left="0" w:right="0" w:hanging="0"/>
        <w:jc w:val="left"/>
        <w:rPr/>
      </w:pPr>
      <w:r>
        <w:rPr/>
        <w:t xml:space="preserve">☒ </w:t>
      </w:r>
      <w:r>
        <w:rPr>
          <w:rFonts w:ascii="Times New Roman;Times;serif" w:hAnsi="Times New Roman;Times;serif"/>
          <w:b/>
          <w:sz w:val="16"/>
        </w:rPr>
        <w:t>QUARTERLY REPORT PURSUANT TO SECTION 13 OR 15(d) 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For the quarterly period ended June 30,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 xml:space="preserve">☐ </w:t>
      </w:r>
      <w:r>
        <w:rPr>
          <w:rFonts w:ascii="Times New Roman;Times;serif" w:hAnsi="Times New Roman;Times;serif"/>
          <w:b/>
          <w:sz w:val="16"/>
        </w:rPr>
        <w:t>TRANSITION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 xml:space="preserve">For the transition period from </w:t>
      </w:r>
      <w:r>
        <w:rPr>
          <w:rFonts w:ascii="Times New Roman;Times;serif" w:hAnsi="Times New Roman;Times;serif"/>
          <w:sz w:val="16"/>
        </w:rPr>
        <w:t xml:space="preserve">                     </w:t>
      </w:r>
      <w:r>
        <w:rPr>
          <w:rFonts w:ascii="Times New Roman;Times;serif" w:hAnsi="Times New Roman;Times;serif"/>
          <w:b/>
          <w:sz w:val="16"/>
        </w:rPr>
        <w:t xml:space="preserve">to </w:t>
      </w:r>
      <w:r>
        <w:rPr>
          <w:rFonts w:ascii="Times New Roman;Times;serif" w:hAnsi="Times New Roman;Times;serif"/>
          <w:sz w:val="16"/>
        </w:rPr>
        <w:t>                  </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Commission file number: 001-37846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QUOIN PHARMACEUTICALS LTD.</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rg_LjyBYDEO4i-hq8SeLCA_3_2"/>
      <w:bookmarkStart w:id="4" w:name="Tc_FskGWAXWEk6OJZQQ7b31oQ_3_0"/>
      <w:bookmarkStart w:id="5" w:name="Tc_l3gPVEwTEUKgtF-LoTyCrQ_2_2"/>
      <w:bookmarkStart w:id="6" w:name="Tc_bs6s9YCxwkmFEtAs4d4Bxg_2_0"/>
      <w:bookmarkStart w:id="7" w:name="Tc_ehlmBWiCVESwr8jTjzKXow_1_0"/>
      <w:bookmarkStart w:id="8" w:name="_1b6107cc_23c4_40a8_a63c_538e8d1203d1"/>
      <w:bookmarkStart w:id="9" w:name="Tc_rg_LjyBYDEO4i-hq8SeLCA_3_2"/>
      <w:bookmarkStart w:id="10" w:name="Tc_FskGWAXWEk6OJZQQ7b31oQ_3_0"/>
      <w:bookmarkStart w:id="11" w:name="Tc_l3gPVEwTEUKgtF-LoTyCrQ_2_2"/>
      <w:bookmarkStart w:id="12" w:name="Tc_bs6s9YCxwkmFEtAs4d4Bxg_2_0"/>
      <w:bookmarkStart w:id="13" w:name="Tc_ehlmBWiCVESwr8jTjzKXow_1_0"/>
      <w:bookmarkStart w:id="14" w:name="_1b6107cc_23c4_40a8_a63c_538e8d1203d1"/>
      <w:bookmarkEnd w:id="9"/>
      <w:bookmarkEnd w:id="10"/>
      <w:bookmarkEnd w:id="11"/>
      <w:bookmarkEnd w:id="12"/>
      <w:bookmarkEnd w:id="13"/>
      <w:bookmarkEnd w:id="14"/>
    </w:p>
    <w:tbl>
      <w:tblPr>
        <w:tblW w:w="4203" w:type="dxa"/>
        <w:jc w:val="left"/>
        <w:tblInd w:w="0" w:type="dxa"/>
        <w:tblLayout w:type="fixed"/>
        <w:tblCellMar>
          <w:top w:w="0" w:type="dxa"/>
          <w:left w:w="0" w:type="dxa"/>
          <w:bottom w:w="0" w:type="dxa"/>
          <w:right w:w="0" w:type="dxa"/>
        </w:tblCellMar>
      </w:tblPr>
      <w:tblGrid>
        <w:gridCol w:w="2371"/>
        <w:gridCol w:w="346"/>
        <w:gridCol w:w="1486"/>
      </w:tblGrid>
      <w:tr>
        <w:trPr/>
        <w:tc>
          <w:tcPr>
            <w:tcW w:w="2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left"/>
              <w:rPr/>
            </w:pPr>
            <w:r>
              <w:rPr/>
              <w:t>​</w:t>
            </w:r>
          </w:p>
        </w:tc>
      </w:tr>
      <w:tr>
        <w:trPr/>
        <w:tc>
          <w:tcPr>
            <w:tcW w:w="23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of Israel</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92-2593104</w:t>
            </w:r>
          </w:p>
        </w:tc>
      </w:tr>
      <w:tr>
        <w:trPr/>
        <w:tc>
          <w:tcPr>
            <w:tcW w:w="23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 of</w:t>
            </w:r>
          </w:p>
        </w:tc>
        <w:tc>
          <w:tcPr>
            <w:tcW w:w="346" w:type="dxa"/>
            <w:tcBorders/>
            <w:vAlign w:val="center"/>
          </w:tcPr>
          <w:p>
            <w:pPr>
              <w:pStyle w:val="TableContents"/>
              <w:bidi w:val="0"/>
              <w:spacing w:before="0" w:after="0"/>
              <w:ind w:left="0" w:right="0" w:hanging="0"/>
              <w:jc w:val="left"/>
              <w:rPr/>
            </w:pPr>
            <w:r>
              <w:rPr/>
              <w:t>​</w:t>
            </w:r>
          </w:p>
        </w:tc>
        <w:tc>
          <w:tcPr>
            <w:tcW w:w="14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tc>
      </w:tr>
      <w:tr>
        <w:trPr/>
        <w:tc>
          <w:tcPr>
            <w:tcW w:w="23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 or organization)</w:t>
            </w:r>
          </w:p>
        </w:tc>
        <w:tc>
          <w:tcPr>
            <w:tcW w:w="34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No.)</w:t>
            </w:r>
          </w:p>
        </w:tc>
      </w:tr>
    </w:tbl>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5" w:name="Tc_q_G2lg1py0OBiZQ1r1Pv4g_4_2"/>
      <w:bookmarkStart w:id="16" w:name="Tc_3_96vxEH3Uix-hlt3HnrNQ_4_0"/>
      <w:bookmarkStart w:id="17" w:name="Tc_jkGbUyrDHE2yyfZ21_SuIQ_3_2"/>
      <w:bookmarkStart w:id="18" w:name="Tc_r3ncTA_KhkiNWztkHd22Fg_3_0"/>
      <w:bookmarkStart w:id="19" w:name="_24ec4029_61dc_420a_83e1_16048f1cfbca"/>
      <w:bookmarkStart w:id="20" w:name="Tc_q_G2lg1py0OBiZQ1r1Pv4g_4_2"/>
      <w:bookmarkStart w:id="21" w:name="Tc_3_96vxEH3Uix-hlt3HnrNQ_4_0"/>
      <w:bookmarkStart w:id="22" w:name="Tc_jkGbUyrDHE2yyfZ21_SuIQ_3_2"/>
      <w:bookmarkStart w:id="23" w:name="Tc_r3ncTA_KhkiNWztkHd22Fg_3_0"/>
      <w:bookmarkStart w:id="24" w:name="_24ec4029_61dc_420a_83e1_16048f1cfbca"/>
      <w:bookmarkEnd w:id="20"/>
      <w:bookmarkEnd w:id="21"/>
      <w:bookmarkEnd w:id="22"/>
      <w:bookmarkEnd w:id="23"/>
      <w:bookmarkEnd w:id="24"/>
    </w:p>
    <w:tbl>
      <w:tblPr>
        <w:tblW w:w="4293" w:type="dxa"/>
        <w:jc w:val="left"/>
        <w:tblInd w:w="0" w:type="dxa"/>
        <w:tblLayout w:type="fixed"/>
        <w:tblCellMar>
          <w:top w:w="0" w:type="dxa"/>
          <w:left w:w="0" w:type="dxa"/>
          <w:bottom w:w="0" w:type="dxa"/>
          <w:right w:w="0" w:type="dxa"/>
        </w:tblCellMar>
      </w:tblPr>
      <w:tblGrid>
        <w:gridCol w:w="2926"/>
        <w:gridCol w:w="346"/>
        <w:gridCol w:w="102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858010" cy="175260"/>
                      <wp:effectExtent l="0" t="0" r="0" b="0"/>
                      <wp:wrapNone/>
                      <wp:docPr id="1" name="Frame1"/>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335" cy="175260"/>
                      <wp:effectExtent l="0" t="0" r="0" b="0"/>
                      <wp:wrapNone/>
                      <wp:docPr id="3" name="Frame3"/>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left"/>
              <w:rPr/>
            </w:pPr>
            <w:r>
              <w:rPr/>
              <w:t>​</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42127 Pleasant Forest Court</w:t>
            </w:r>
          </w:p>
        </w:tc>
        <w:tc>
          <w:tcPr>
            <w:tcW w:w="346" w:type="dxa"/>
            <w:tcBorders/>
            <w:vAlign w:val="center"/>
          </w:tcPr>
          <w:p>
            <w:pPr>
              <w:pStyle w:val="TableContents"/>
              <w:bidi w:val="0"/>
              <w:spacing w:before="0" w:after="0"/>
              <w:ind w:left="0" w:right="0" w:hanging="0"/>
              <w:jc w:val="left"/>
              <w:rPr/>
            </w:pPr>
            <w:r>
              <w:rPr/>
              <w:t>  ​ ​ ​</w:t>
            </w:r>
          </w:p>
        </w:tc>
        <w:tc>
          <w:tcPr>
            <w:tcW w:w="1021" w:type="dxa"/>
            <w:tcBorders/>
            <w:vAlign w:val="center"/>
          </w:tcPr>
          <w:p>
            <w:pPr>
              <w:pStyle w:val="TableContents"/>
              <w:bidi w:val="0"/>
              <w:spacing w:before="0" w:after="0"/>
              <w:ind w:left="0" w:right="0" w:hanging="0"/>
              <w:jc w:val="left"/>
              <w:rPr/>
            </w:pPr>
            <w:r>
              <w:rPr/>
              <w:t>​</w:t>
            </w:r>
          </w:p>
        </w:tc>
      </w:tr>
      <w:tr>
        <w:trPr/>
        <w:tc>
          <w:tcPr>
            <w:tcW w:w="29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Ashburn, VA</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20148-7349</w:t>
            </w:r>
          </w:p>
        </w:tc>
      </w:tr>
      <w:tr>
        <w:trPr/>
        <w:tc>
          <w:tcPr>
            <w:tcW w:w="29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346" w:type="dxa"/>
            <w:tcBorders/>
            <w:vAlign w:val="center"/>
          </w:tcPr>
          <w:p>
            <w:pPr>
              <w:pStyle w:val="TableContents"/>
              <w:bidi w:val="0"/>
              <w:spacing w:before="0" w:after="0"/>
              <w:ind w:left="0" w:right="0" w:hanging="0"/>
              <w:jc w:val="left"/>
              <w:rPr/>
            </w:pPr>
            <w:r>
              <w:rPr/>
              <w:t>​</w:t>
            </w:r>
          </w:p>
        </w:tc>
        <w:tc>
          <w:tcPr>
            <w:tcW w:w="102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(703) 980-4182</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(Former name, former address and former fiscal year,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5" w:name="Tc_vctLHApiIkmZds9mfTw-lg_3_4"/>
      <w:bookmarkStart w:id="26" w:name="Tc_DsP0Ax4vfkirQzaa2Dj3YQ_3_0"/>
      <w:bookmarkStart w:id="27" w:name="Tc_QUVXXHCNLUyr8EFJaDdcDg_2_4"/>
      <w:bookmarkStart w:id="28" w:name="Tc_t8d5RkWUC0mI-7sFgVemwg_2_0"/>
      <w:bookmarkStart w:id="29" w:name="Tc_B9GATVGpqkeHZENQ1y8BlQ_1_4"/>
      <w:bookmarkStart w:id="30" w:name="Tc_uze_iNJLiUiSt3-PpSVYOQ_1_2"/>
      <w:bookmarkStart w:id="31" w:name="Tc_iMCmfvnWuky4OpG0ytMMaQ_1_0"/>
      <w:bookmarkStart w:id="32" w:name="_8bcf5179_4123_4586_a3d5_376d51451ded"/>
      <w:bookmarkStart w:id="33" w:name="Tc_vctLHApiIkmZds9mfTw-lg_3_4"/>
      <w:bookmarkStart w:id="34" w:name="Tc_DsP0Ax4vfkirQzaa2Dj3YQ_3_0"/>
      <w:bookmarkStart w:id="35" w:name="Tc_QUVXXHCNLUyr8EFJaDdcDg_2_4"/>
      <w:bookmarkStart w:id="36" w:name="Tc_t8d5RkWUC0mI-7sFgVemwg_2_0"/>
      <w:bookmarkStart w:id="37" w:name="Tc_B9GATVGpqkeHZENQ1y8BlQ_1_4"/>
      <w:bookmarkStart w:id="38" w:name="Tc_uze_iNJLiUiSt3-PpSVYOQ_1_2"/>
      <w:bookmarkStart w:id="39" w:name="Tc_iMCmfvnWuky4OpG0ytMMaQ_1_0"/>
      <w:bookmarkStart w:id="40" w:name="_8bcf5179_4123_4586_a3d5_376d51451ded"/>
      <w:bookmarkEnd w:id="33"/>
      <w:bookmarkEnd w:id="34"/>
      <w:bookmarkEnd w:id="35"/>
      <w:bookmarkEnd w:id="36"/>
      <w:bookmarkEnd w:id="37"/>
      <w:bookmarkEnd w:id="38"/>
      <w:bookmarkEnd w:id="39"/>
      <w:bookmarkEnd w:id="40"/>
    </w:p>
    <w:tbl>
      <w:tblPr>
        <w:tblW w:w="10205" w:type="dxa"/>
        <w:jc w:val="left"/>
        <w:tblInd w:w="0" w:type="dxa"/>
        <w:tblLayout w:type="fixed"/>
        <w:tblCellMar>
          <w:top w:w="0" w:type="dxa"/>
          <w:left w:w="0" w:type="dxa"/>
          <w:bottom w:w="0" w:type="dxa"/>
          <w:right w:w="0" w:type="dxa"/>
        </w:tblCellMar>
      </w:tblPr>
      <w:tblGrid>
        <w:gridCol w:w="5597"/>
        <w:gridCol w:w="346"/>
        <w:gridCol w:w="1254"/>
        <w:gridCol w:w="346"/>
        <w:gridCol w:w="2662"/>
      </w:tblGrid>
      <w:tr>
        <w:trPr/>
        <w:tc>
          <w:tcPr>
            <w:tcW w:w="55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62" w:type="dxa"/>
            <w:tcBorders/>
            <w:vAlign w:val="center"/>
          </w:tcPr>
          <w:p>
            <w:pPr>
              <w:pStyle w:val="TableContents"/>
              <w:bidi w:val="0"/>
              <w:spacing w:before="0" w:after="0"/>
              <w:ind w:left="0" w:right="0" w:hanging="0"/>
              <w:jc w:val="left"/>
              <w:rPr/>
            </w:pPr>
            <w:r>
              <w:rPr/>
              <w:t>​</w:t>
            </w:r>
          </w:p>
        </w:tc>
      </w:tr>
      <w:tr>
        <w:trPr/>
        <w:tc>
          <w:tcPr>
            <w:tcW w:w="559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vAlign w:val="center"/>
          </w:tcPr>
          <w:p>
            <w:pPr>
              <w:pStyle w:val="TableContents"/>
              <w:bidi w:val="0"/>
              <w:spacing w:before="0" w:after="0"/>
              <w:ind w:left="0" w:right="0" w:hanging="0"/>
              <w:jc w:val="left"/>
              <w:rPr/>
            </w:pPr>
            <w:r>
              <w:rPr/>
              <w:t>  ​ ​ ​</w:t>
            </w:r>
          </w:p>
        </w:tc>
        <w:tc>
          <w:tcPr>
            <w:tcW w:w="125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46" w:type="dxa"/>
            <w:tcBorders/>
            <w:vAlign w:val="center"/>
          </w:tcPr>
          <w:p>
            <w:pPr>
              <w:pStyle w:val="TableContents"/>
              <w:bidi w:val="0"/>
              <w:spacing w:before="0" w:after="0"/>
              <w:ind w:left="0" w:right="0" w:hanging="0"/>
              <w:jc w:val="left"/>
              <w:rPr/>
            </w:pPr>
            <w:r>
              <w:rPr/>
              <w:t>  ​ ​ ​</w:t>
            </w:r>
          </w:p>
        </w:tc>
        <w:tc>
          <w:tcPr>
            <w:tcW w:w="266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5597"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American Depositary Shares, each representing thirty-five (35) Ordinary Shares, no par value per share</w:t>
            </w:r>
          </w:p>
        </w:tc>
        <w:tc>
          <w:tcPr>
            <w:tcW w:w="346" w:type="dxa"/>
            <w:tcBorders/>
            <w:vAlign w:val="center"/>
          </w:tcPr>
          <w:p>
            <w:pPr>
              <w:pStyle w:val="TableContents"/>
              <w:bidi w:val="0"/>
              <w:spacing w:before="0" w:after="0"/>
              <w:ind w:left="0" w:right="0" w:hanging="0"/>
              <w:jc w:val="left"/>
              <w:rPr/>
            </w:pPr>
            <w:r>
              <w:rPr/>
              <w:t>​</w:t>
            </w:r>
          </w:p>
        </w:tc>
        <w:tc>
          <w:tcPr>
            <w:tcW w:w="1254"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QNRX</w:t>
            </w:r>
          </w:p>
        </w:tc>
        <w:tc>
          <w:tcPr>
            <w:tcW w:w="346" w:type="dxa"/>
            <w:tcBorders/>
            <w:vAlign w:val="center"/>
          </w:tcPr>
          <w:p>
            <w:pPr>
              <w:pStyle w:val="TableContents"/>
              <w:bidi w:val="0"/>
              <w:spacing w:before="0" w:after="0"/>
              <w:ind w:left="0" w:right="0" w:hanging="0"/>
              <w:jc w:val="left"/>
              <w:rPr/>
            </w:pPr>
            <w:r>
              <w:rPr/>
              <w:t>​</w:t>
            </w:r>
          </w:p>
        </w:tc>
        <w:tc>
          <w:tcPr>
            <w:tcW w:w="2662"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The Nasdaq</w:t>
            </w:r>
            <w:r>
              <w:rPr>
                <w:rFonts w:ascii="Times New Roman;Times;serif" w:hAnsi="Times New Roman;Times;serif"/>
                <w:sz w:val="20"/>
              </w:rPr>
              <w:t xml:space="preserve"> </w:t>
            </w:r>
            <w:r>
              <w:rPr>
                <w:rFonts w:ascii="Times New Roman;Times;serif" w:hAnsi="Times New Roman;Times;serif"/>
                <w:sz w:val="16"/>
              </w:rPr>
              <w:t>Stock Market LLC</w:t>
            </w:r>
          </w:p>
        </w:tc>
      </w:tr>
      <w:tr>
        <w:trPr/>
        <w:tc>
          <w:tcPr>
            <w:tcW w:w="5597" w:type="dxa"/>
            <w:tcBorders/>
            <w:vAlign w:val="center"/>
          </w:tcPr>
          <w:p>
            <w:pPr>
              <w:pStyle w:val="TableContents"/>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Ordinary Shares, no par value per share*</w:t>
            </w:r>
          </w:p>
        </w:tc>
        <w:tc>
          <w:tcPr>
            <w:tcW w:w="346" w:type="dxa"/>
            <w:tcBorders/>
            <w:vAlign w:val="center"/>
          </w:tcPr>
          <w:p>
            <w:pPr>
              <w:pStyle w:val="TableContents"/>
              <w:bidi w:val="0"/>
              <w:spacing w:before="0" w:after="0"/>
              <w:ind w:left="0" w:right="0" w:hanging="0"/>
              <w:jc w:val="left"/>
              <w:rPr/>
            </w:pPr>
            <w:r>
              <w:rPr/>
              <w:t>​</w:t>
            </w:r>
          </w:p>
        </w:tc>
        <w:tc>
          <w:tcPr>
            <w:tcW w:w="12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6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w:t>
            </w:r>
          </w:p>
        </w:tc>
        <w:tc>
          <w:tcPr>
            <w:tcW w:w="9994"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Not for trading, but only in connection with the registration of the American Depositary Shares (“ADSs”) pursuant to requirements of the Securities and Exchange Commission.</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1" w:name="Tc_3wBekhM9vU25KzpX33KkZw_2_0"/>
      <w:bookmarkStart w:id="42" w:name="Tc_g9EhmFc30E2aFAWx1gRvvw_1_2"/>
      <w:bookmarkStart w:id="43" w:name="Tc_iwxs-8Kff0GL0_yIdPcvoA_1_1"/>
      <w:bookmarkStart w:id="44" w:name="Tc_0Hu4f5Pn_0q0izLrZf6ZwQ_0_3"/>
      <w:bookmarkStart w:id="45" w:name="Tc_jYFIqbH8kk-jo_K2VlZWXg_0_2"/>
      <w:bookmarkStart w:id="46" w:name="Tc_H6bIXX8aOEK8zaGINT-0rg_0_1"/>
      <w:bookmarkStart w:id="47" w:name="Tc_zSBgvIL1REGM8G57Wx11AQ_0_0"/>
      <w:bookmarkStart w:id="48" w:name="_1a4e9c47_302a_4ff4_8859_09cf2676c113"/>
      <w:bookmarkStart w:id="49" w:name="Tc_3wBekhM9vU25KzpX33KkZw_2_0"/>
      <w:bookmarkStart w:id="50" w:name="Tc_g9EhmFc30E2aFAWx1gRvvw_1_2"/>
      <w:bookmarkStart w:id="51" w:name="Tc_iwxs-8Kff0GL0_yIdPcvoA_1_1"/>
      <w:bookmarkStart w:id="52" w:name="Tc_0Hu4f5Pn_0q0izLrZf6ZwQ_0_3"/>
      <w:bookmarkStart w:id="53" w:name="Tc_jYFIqbH8kk-jo_K2VlZWXg_0_2"/>
      <w:bookmarkStart w:id="54" w:name="Tc_H6bIXX8aOEK8zaGINT-0rg_0_1"/>
      <w:bookmarkStart w:id="55" w:name="Tc_zSBgvIL1REGM8G57Wx11AQ_0_0"/>
      <w:bookmarkStart w:id="56" w:name="_1a4e9c47_302a_4ff4_8859_09cf2676c113"/>
      <w:bookmarkEnd w:id="49"/>
      <w:bookmarkEnd w:id="50"/>
      <w:bookmarkEnd w:id="51"/>
      <w:bookmarkEnd w:id="52"/>
      <w:bookmarkEnd w:id="53"/>
      <w:bookmarkEnd w:id="54"/>
      <w:bookmarkEnd w:id="55"/>
      <w:bookmarkEnd w:id="56"/>
    </w:p>
    <w:tbl>
      <w:tblPr>
        <w:tblW w:w="4729" w:type="dxa"/>
        <w:jc w:val="left"/>
        <w:tblInd w:w="0" w:type="dxa"/>
        <w:tblLayout w:type="fixed"/>
        <w:tblCellMar>
          <w:top w:w="0" w:type="dxa"/>
          <w:left w:w="0" w:type="dxa"/>
          <w:bottom w:w="0" w:type="dxa"/>
          <w:right w:w="0" w:type="dxa"/>
        </w:tblCellMar>
      </w:tblPr>
      <w:tblGrid>
        <w:gridCol w:w="2041"/>
        <w:gridCol w:w="316"/>
        <w:gridCol w:w="2011"/>
        <w:gridCol w:w="361"/>
      </w:tblGrid>
      <w:tr>
        <w:trPr/>
        <w:tc>
          <w:tcPr>
            <w:tcW w:w="20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1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6"/>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As of August 12, 2026, the registrant had 70,294,615 ordinary shares, no par value per share, outstanding, and 2,008,417 ADSs outstanding (assuming all ordinary shares are represented by ADSs), with each ADS representing thirty-five (35) ordinary shares.</w:t>
      </w:r>
    </w:p>
    <w:p>
      <w:pPr>
        <w:pStyle w:val="TextBody"/>
        <w:bidi w:val="0"/>
        <w:spacing w:before="0" w:after="0"/>
        <w:ind w:left="0" w:right="0" w:hanging="0"/>
        <w:jc w:val="both"/>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7" w:name="_e3d39998_3aa6_40e8_a3a2_ac9c079c1a19"/>
      <w:bookmarkEnd w:id="57"/>
      <w:r>
        <w:rPr>
          <w:rFonts w:ascii="Times New Roman;Times;serif" w:hAnsi="Times New Roman;Times;serif"/>
          <w:b/>
          <w:sz w:val="20"/>
        </w:rPr>
        <w:t>QUOIN PHARMACEUTICALS LTD.</w:t>
      </w:r>
    </w:p>
    <w:p>
      <w:pPr>
        <w:pStyle w:val="TextBody"/>
        <w:bidi w:val="0"/>
        <w:spacing w:before="0" w:after="240"/>
        <w:ind w:left="0" w:right="0" w:hanging="0"/>
        <w:jc w:val="center"/>
        <w:rPr>
          <w:rFonts w:ascii="Times New Roman;Times;serif" w:hAnsi="Times New Roman;Times;serif"/>
          <w:b/>
          <w:sz w:val="20"/>
        </w:rPr>
      </w:pPr>
      <w:bookmarkStart w:id="58" w:name="TOC"/>
      <w:bookmarkEnd w:id="58"/>
      <w:r>
        <w:rPr>
          <w:rFonts w:ascii="Times New Roman;Times;serif" w:hAnsi="Times New Roman;Times;serif"/>
          <w:b/>
          <w:sz w:val="20"/>
        </w:rPr>
        <w:t>INDEX</w:t>
      </w:r>
    </w:p>
    <w:tbl>
      <w:tblPr>
        <w:tblW w:w="8597" w:type="dxa"/>
        <w:jc w:val="left"/>
        <w:tblInd w:w="0" w:type="dxa"/>
        <w:tblLayout w:type="fixed"/>
        <w:tblCellMar>
          <w:top w:w="0" w:type="dxa"/>
          <w:left w:w="0" w:type="dxa"/>
          <w:bottom w:w="0" w:type="dxa"/>
          <w:right w:w="0" w:type="dxa"/>
        </w:tblCellMar>
      </w:tblPr>
      <w:tblGrid>
        <w:gridCol w:w="8026"/>
        <w:gridCol w:w="571"/>
      </w:tblGrid>
      <w:tr>
        <w:trPr/>
        <w:tc>
          <w:tcPr>
            <w:tcW w:w="802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bottom w:val="single" w:sz="2" w:space="0" w:color="000000"/>
            </w:tcBorders>
            <w:tcMar>
              <w:bottom w:w="35"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8026" w:type="dxa"/>
            <w:tcBorders/>
            <w:vAlign w:val="center"/>
          </w:tcPr>
          <w:p>
            <w:pPr>
              <w:pStyle w:val="TableContents"/>
              <w:bidi w:val="0"/>
              <w:spacing w:before="0" w:after="0"/>
              <w:ind w:left="0" w:right="0" w:hanging="0"/>
              <w:jc w:val="left"/>
              <w:rPr/>
            </w:pPr>
            <w:hyperlink w:anchor="CAUTIONARYNOTEREGARDINGFORWARDLOOKINGSTA">
              <w:r>
                <w:rPr>
                  <w:rStyle w:val="InternetLink"/>
                  <w:rFonts w:ascii="Times New Roman;Times;serif" w:hAnsi="Times New Roman;Times;serif"/>
                  <w:b w:val="false"/>
                  <w:i w:val="false"/>
                  <w:caps w:val="false"/>
                  <w:smallCaps w:val="false"/>
                  <w:sz w:val="20"/>
                </w:rPr>
                <w:t>CAUTIONARY NOTE REGARDING FORWARD-LOOKING STATEMENTS</w:t>
              </w:r>
            </w:hyperlink>
          </w:p>
        </w:tc>
        <w:tc>
          <w:tcPr>
            <w:tcW w:w="5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0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 </w:t>
            </w:r>
          </w:p>
        </w:tc>
      </w:tr>
      <w:tr>
        <w:trPr/>
        <w:tc>
          <w:tcPr>
            <w:tcW w:w="8026" w:type="dxa"/>
            <w:tcBorders/>
            <w:vAlign w:val="center"/>
          </w:tcPr>
          <w:p>
            <w:pPr>
              <w:pStyle w:val="TableContents"/>
              <w:bidi w:val="0"/>
              <w:spacing w:before="0" w:after="0"/>
              <w:ind w:left="0" w:right="0" w:hanging="0"/>
              <w:jc w:val="left"/>
              <w:rPr/>
            </w:pPr>
            <w:hyperlink w:anchor="PARTIFINANCIALINFORMATION_700298">
              <w:r>
                <w:rPr>
                  <w:rStyle w:val="InternetLink"/>
                  <w:rFonts w:ascii="Times New Roman;Times;serif" w:hAnsi="Times New Roman;Times;serif"/>
                  <w:b w:val="false"/>
                  <w:i w:val="false"/>
                  <w:caps w:val="false"/>
                  <w:smallCaps w:val="false"/>
                  <w:sz w:val="20"/>
                </w:rPr>
                <w:t>PART I-FINANCIAL INFORMATION</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0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w:t>
            </w:r>
          </w:p>
        </w:tc>
      </w:tr>
      <w:tr>
        <w:trPr/>
        <w:tc>
          <w:tcPr>
            <w:tcW w:w="8026" w:type="dxa"/>
            <w:tcBorders/>
            <w:vAlign w:val="center"/>
          </w:tcPr>
          <w:p>
            <w:pPr>
              <w:pStyle w:val="TableContents"/>
              <w:bidi w:val="0"/>
              <w:spacing w:before="0" w:after="0"/>
              <w:ind w:left="0" w:right="0" w:hanging="0"/>
              <w:jc w:val="left"/>
              <w:rPr/>
            </w:pPr>
            <w:hyperlink w:anchor="Item1FinancialStatements_953101">
              <w:r>
                <w:rPr>
                  <w:rStyle w:val="InternetLink"/>
                  <w:rFonts w:ascii="Times New Roman;Times;serif" w:hAnsi="Times New Roman;Times;serif"/>
                  <w:b w:val="false"/>
                  <w:i w:val="false"/>
                  <w:caps w:val="false"/>
                  <w:smallCaps w:val="false"/>
                  <w:sz w:val="20"/>
                </w:rPr>
                <w:t>Item 1. Financial Statements.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0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w:t>
            </w:r>
          </w:p>
        </w:tc>
      </w:tr>
      <w:tr>
        <w:trPr/>
        <w:tc>
          <w:tcPr>
            <w:tcW w:w="802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tc>
      </w:tr>
      <w:tr>
        <w:trPr/>
        <w:tc>
          <w:tcPr>
            <w:tcW w:w="80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w:t>
            </w:r>
          </w:p>
        </w:tc>
      </w:tr>
      <w:tr>
        <w:trPr/>
        <w:tc>
          <w:tcPr>
            <w:tcW w:w="802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tc>
      </w:tr>
      <w:tr>
        <w:trPr/>
        <w:tc>
          <w:tcPr>
            <w:tcW w:w="80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w:t>
            </w:r>
          </w:p>
        </w:tc>
      </w:tr>
      <w:tr>
        <w:trPr/>
        <w:tc>
          <w:tcPr>
            <w:tcW w:w="8026" w:type="dxa"/>
            <w:tcBorders/>
            <w:vAlign w:val="center"/>
          </w:tcPr>
          <w:p>
            <w:pPr>
              <w:pStyle w:val="TableContents"/>
              <w:bidi w:val="0"/>
              <w:spacing w:before="0" w:after="0"/>
              <w:ind w:left="0" w:right="0" w:hanging="0"/>
              <w:jc w:val="left"/>
              <w:rPr/>
            </w:pPr>
            <w:hyperlink w:anchor="Item4ControlsandProcedures_599797">
              <w:r>
                <w:rPr>
                  <w:rStyle w:val="InternetLink"/>
                  <w:rFonts w:ascii="Times New Roman;Times;serif" w:hAnsi="Times New Roman;Times;serif"/>
                  <w:b w:val="false"/>
                  <w:i w:val="false"/>
                  <w:caps w:val="false"/>
                  <w:smallCaps w:val="false"/>
                  <w:sz w:val="20"/>
                </w:rPr>
                <w:t>Item 4. Controls and Procedures.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tc>
      </w:tr>
      <w:tr>
        <w:trPr/>
        <w:tc>
          <w:tcPr>
            <w:tcW w:w="80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w:t>
            </w:r>
          </w:p>
        </w:tc>
      </w:tr>
      <w:tr>
        <w:trPr/>
        <w:tc>
          <w:tcPr>
            <w:tcW w:w="8026" w:type="dxa"/>
            <w:tcBorders/>
            <w:vAlign w:val="center"/>
          </w:tcPr>
          <w:p>
            <w:pPr>
              <w:pStyle w:val="TableContents"/>
              <w:bidi w:val="0"/>
              <w:spacing w:before="0" w:after="0"/>
              <w:ind w:left="0" w:right="0" w:hanging="0"/>
              <w:jc w:val="left"/>
              <w:rPr/>
            </w:pPr>
            <w:hyperlink w:anchor="PARTIIOTHERINFORMATION_489666">
              <w:r>
                <w:rPr>
                  <w:rStyle w:val="InternetLink"/>
                  <w:rFonts w:ascii="Times New Roman;Times;serif" w:hAnsi="Times New Roman;Times;serif"/>
                  <w:b w:val="false"/>
                  <w:i w:val="false"/>
                  <w:caps w:val="false"/>
                  <w:smallCaps w:val="false"/>
                  <w:sz w:val="20"/>
                </w:rPr>
                <w:t>PART II-OTHER INFORMATION</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0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w:t>
            </w:r>
          </w:p>
        </w:tc>
      </w:tr>
      <w:tr>
        <w:trPr/>
        <w:tc>
          <w:tcPr>
            <w:tcW w:w="8026" w:type="dxa"/>
            <w:tcBorders/>
            <w:vAlign w:val="center"/>
          </w:tcPr>
          <w:p>
            <w:pPr>
              <w:pStyle w:val="TableContents"/>
              <w:bidi w:val="0"/>
              <w:spacing w:before="0" w:after="0"/>
              <w:ind w:left="0" w:right="0" w:hanging="0"/>
              <w:jc w:val="left"/>
              <w:rPr/>
            </w:pPr>
            <w:hyperlink w:anchor="Item1LegalProceedings_833976">
              <w:r>
                <w:rPr>
                  <w:rStyle w:val="InternetLink"/>
                  <w:rFonts w:ascii="Times New Roman;Times;serif" w:hAnsi="Times New Roman;Times;serif"/>
                  <w:b w:val="false"/>
                  <w:i w:val="false"/>
                  <w:caps w:val="false"/>
                  <w:smallCaps w:val="false"/>
                  <w:sz w:val="20"/>
                </w:rPr>
                <w:t>Item 1. Legal Proceedings.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0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w:t>
            </w:r>
          </w:p>
        </w:tc>
      </w:tr>
      <w:tr>
        <w:trPr/>
        <w:tc>
          <w:tcPr>
            <w:tcW w:w="8026" w:type="dxa"/>
            <w:tcBorders/>
            <w:vAlign w:val="center"/>
          </w:tcPr>
          <w:p>
            <w:pPr>
              <w:pStyle w:val="TableContents"/>
              <w:bidi w:val="0"/>
              <w:spacing w:before="0" w:after="0"/>
              <w:ind w:left="0" w:right="0" w:hanging="0"/>
              <w:jc w:val="left"/>
              <w:rPr/>
            </w:pPr>
            <w:hyperlink w:anchor="Item1ARiskFactors_108175">
              <w:r>
                <w:rPr>
                  <w:rStyle w:val="InternetLink"/>
                  <w:rFonts w:ascii="Times New Roman;Times;serif" w:hAnsi="Times New Roman;Times;serif"/>
                  <w:b w:val="false"/>
                  <w:i w:val="false"/>
                  <w:caps w:val="false"/>
                  <w:smallCaps w:val="false"/>
                  <w:sz w:val="20"/>
                </w:rPr>
                <w:t>Item 1A. Risk Factors.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0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w:t>
            </w:r>
          </w:p>
        </w:tc>
      </w:tr>
      <w:tr>
        <w:trPr/>
        <w:tc>
          <w:tcPr>
            <w:tcW w:w="802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0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w:t>
            </w:r>
          </w:p>
        </w:tc>
      </w:tr>
      <w:tr>
        <w:trPr/>
        <w:tc>
          <w:tcPr>
            <w:tcW w:w="8026" w:type="dxa"/>
            <w:tcBorders/>
            <w:vAlign w:val="center"/>
          </w:tcPr>
          <w:p>
            <w:pPr>
              <w:pStyle w:val="TableContents"/>
              <w:bidi w:val="0"/>
              <w:spacing w:before="0" w:after="0"/>
              <w:ind w:left="0" w:right="0" w:hanging="0"/>
              <w:jc w:val="left"/>
              <w:rPr/>
            </w:pPr>
            <w:hyperlink w:anchor="Item3DefaultsUponSeniorSecurities_447659">
              <w:r>
                <w:rPr>
                  <w:rStyle w:val="InternetLink"/>
                  <w:rFonts w:ascii="Times New Roman;Times;serif" w:hAnsi="Times New Roman;Times;serif"/>
                  <w:b w:val="false"/>
                  <w:i w:val="false"/>
                  <w:caps w:val="false"/>
                  <w:smallCaps w:val="false"/>
                  <w:sz w:val="20"/>
                </w:rPr>
                <w:t>Item 3. Defaults Upon Senior Securities.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0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w:t>
            </w:r>
          </w:p>
        </w:tc>
      </w:tr>
      <w:tr>
        <w:trPr/>
        <w:tc>
          <w:tcPr>
            <w:tcW w:w="8026" w:type="dxa"/>
            <w:tcBorders/>
            <w:vAlign w:val="center"/>
          </w:tcPr>
          <w:p>
            <w:pPr>
              <w:pStyle w:val="TableContents"/>
              <w:bidi w:val="0"/>
              <w:spacing w:before="0" w:after="0"/>
              <w:ind w:left="0" w:right="0" w:hanging="0"/>
              <w:jc w:val="left"/>
              <w:rPr/>
            </w:pPr>
            <w:hyperlink w:anchor="Item4MineSafetyDisclosures_70456">
              <w:r>
                <w:rPr>
                  <w:rStyle w:val="InternetLink"/>
                  <w:rFonts w:ascii="Times New Roman;Times;serif" w:hAnsi="Times New Roman;Times;serif"/>
                  <w:b w:val="false"/>
                  <w:i w:val="false"/>
                  <w:caps w:val="false"/>
                  <w:smallCaps w:val="false"/>
                  <w:sz w:val="20"/>
                </w:rPr>
                <w:t>Item 4. Mine Safety Disclosures.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0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w:t>
            </w:r>
          </w:p>
        </w:tc>
      </w:tr>
      <w:tr>
        <w:trPr/>
        <w:tc>
          <w:tcPr>
            <w:tcW w:w="8026" w:type="dxa"/>
            <w:tcBorders/>
            <w:vAlign w:val="center"/>
          </w:tcPr>
          <w:p>
            <w:pPr>
              <w:pStyle w:val="TableContents"/>
              <w:bidi w:val="0"/>
              <w:spacing w:before="0" w:after="0"/>
              <w:ind w:left="0" w:right="0" w:hanging="0"/>
              <w:jc w:val="left"/>
              <w:rPr/>
            </w:pPr>
            <w:hyperlink w:anchor="Item5OtherInformation_240242">
              <w:r>
                <w:rPr>
                  <w:rStyle w:val="InternetLink"/>
                  <w:rFonts w:ascii="Times New Roman;Times;serif" w:hAnsi="Times New Roman;Times;serif"/>
                  <w:b w:val="false"/>
                  <w:i w:val="false"/>
                  <w:caps w:val="false"/>
                  <w:smallCaps w:val="false"/>
                  <w:sz w:val="20"/>
                </w:rPr>
                <w:t>Item 5. Other Information.</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0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w:t>
            </w:r>
          </w:p>
        </w:tc>
      </w:tr>
      <w:tr>
        <w:trPr/>
        <w:tc>
          <w:tcPr>
            <w:tcW w:w="8026" w:type="dxa"/>
            <w:tcBorders/>
            <w:vAlign w:val="center"/>
          </w:tcPr>
          <w:p>
            <w:pPr>
              <w:pStyle w:val="TableContents"/>
              <w:bidi w:val="0"/>
              <w:spacing w:before="0" w:after="0"/>
              <w:ind w:left="0" w:right="0" w:hanging="0"/>
              <w:jc w:val="left"/>
              <w:rPr/>
            </w:pPr>
            <w:hyperlink w:anchor="Item6Exhibits_658679">
              <w:r>
                <w:rPr>
                  <w:rStyle w:val="InternetLink"/>
                  <w:rFonts w:ascii="Times New Roman;Times;serif" w:hAnsi="Times New Roman;Times;serif"/>
                  <w:b w:val="false"/>
                  <w:i w:val="false"/>
                  <w:caps w:val="false"/>
                  <w:smallCaps w:val="false"/>
                  <w:sz w:val="20"/>
                </w:rPr>
                <w:t>Item 6. Exhibits.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80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w:t>
            </w:r>
          </w:p>
        </w:tc>
      </w:tr>
      <w:tr>
        <w:trPr/>
        <w:tc>
          <w:tcPr>
            <w:tcW w:w="8026" w:type="dxa"/>
            <w:tcBorders/>
            <w:vAlign w:val="center"/>
          </w:tcPr>
          <w:p>
            <w:pPr>
              <w:pStyle w:val="TableContents"/>
              <w:bidi w:val="0"/>
              <w:spacing w:before="0" w:after="0"/>
              <w:ind w:left="0" w:right="0" w:hanging="0"/>
              <w:jc w:val="left"/>
              <w:rPr/>
            </w:pPr>
            <w:hyperlink w:anchor="SIGNATURES_253006">
              <w:r>
                <w:rPr>
                  <w:rStyle w:val="InternetLink"/>
                  <w:rFonts w:ascii="Times New Roman;Times;serif" w:hAnsi="Times New Roman;Times;serif"/>
                  <w:b w:val="false"/>
                  <w:i w:val="false"/>
                  <w:caps w:val="false"/>
                  <w:smallCaps w:val="false"/>
                  <w:sz w:val="20"/>
                </w:rPr>
                <w:t>SIGNATURES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9" w:name="_f2235f73_53fd_4d48_a606_8b9007bd2da9"/>
      <w:bookmarkEnd w:id="59"/>
      <w:r>
        <w:rPr>
          <w:rFonts w:ascii="Times New Roman;Times;serif" w:hAnsi="Times New Roman;Times;serif"/>
          <w:b/>
          <w:sz w:val="20"/>
        </w:rPr>
        <w:t>GENERAL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Unless otherwise indicated or the context otherwise requires, all references in this Quarterly Report on Form 10-Q (the “Quarterly Report”) to the terms “Quoin,” “Quoin Ltd.,” the “Company,” “us,” “we”, “our” and the “Registrant” refer to Quoin Pharmaceuticals Ltd., an Israeli company, and its consolidated subsidiaries. In this Quarterly Report, the U.S. Securities and Exchange Commission is referred to as the “SEC”, the Securities Act of 1933, as amended, is referred to as the “Securities Act” and the Securities Exchange Act of 1934, as amended, is referred to as the “Exchange Act.”</w:t>
      </w:r>
    </w:p>
    <w:p>
      <w:pPr>
        <w:pStyle w:val="TextBody"/>
        <w:bidi w:val="0"/>
        <w:spacing w:before="0" w:after="240"/>
        <w:ind w:left="0" w:right="0" w:hanging="0"/>
        <w:jc w:val="center"/>
        <w:rPr>
          <w:rFonts w:ascii="Times New Roman;Times;serif" w:hAnsi="Times New Roman;Times;serif"/>
          <w:b/>
          <w:sz w:val="20"/>
        </w:rPr>
      </w:pPr>
      <w:bookmarkStart w:id="60" w:name="CAUTIONARYNOTEREGARDINGFORWARDLOOKINGSTA"/>
      <w:bookmarkEnd w:id="60"/>
      <w:r>
        <w:rPr>
          <w:rFonts w:ascii="Times New Roman;Times;serif" w:hAnsi="Times New Roman;Times;serif"/>
          <w:b/>
          <w:sz w:val="20"/>
        </w:rPr>
        <w:t>CAUTIONARY NOTE REGARDING FORWARD-LOOKING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information included in this Quarterly Report may be deemed to be “forward-looking statements” within the meaning of the Private Securities Litigation Reform Act of 1995 and other securities laws. Forward-looking statements are often characterized by the use of forward-looking terminology such as “may,” “will,” “expect,” “anticipate,” “estimate,” “continue,” “believe,” “should,” “intend,” “project” or other similar words, but are not the only way these statements are identified.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forward-looking statements may include, but are not limited to, statements relating to our objectives, plans and strategies, statements that contain projections of results of operations or of financial condition, expected capital needs and expenses, statements relating to the research, development, completion and use of our products, and all statements (other than statements of historical facts) that address activities, events or developments that we intend, expect, project, believe or anticipate will or may occur in the future.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Important factors that could cause actual results, developments and business decisions to differ materially from those anticipated in these forward-looking statements include, among other things:</w:t>
      </w:r>
    </w:p>
    <w:tbl>
      <w:tblPr>
        <w:tblW w:w="8196" w:type="dxa"/>
        <w:jc w:val="left"/>
        <w:tblInd w:w="0" w:type="dxa"/>
        <w:tblLayout w:type="fixed"/>
        <w:tblCellMar>
          <w:top w:w="28" w:type="dxa"/>
          <w:left w:w="28" w:type="dxa"/>
          <w:bottom w:w="28" w:type="dxa"/>
          <w:right w:w="28" w:type="dxa"/>
        </w:tblCellMar>
      </w:tblPr>
      <w:tblGrid>
        <w:gridCol w:w="124"/>
        <w:gridCol w:w="256"/>
        <w:gridCol w:w="7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limited operating history and the difficulties encountered by a small developing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history of losses and inability to fund our business from operations may require us in the future to obtain additional capital the terms of which may not be on acceptable terms, or at all;</w:t>
            </w:r>
          </w:p>
        </w:tc>
      </w:tr>
    </w:tbl>
    <w:tbl>
      <w:tblPr>
        <w:tblW w:w="8211" w:type="dxa"/>
        <w:jc w:val="left"/>
        <w:tblInd w:w="0" w:type="dxa"/>
        <w:tblLayout w:type="fixed"/>
        <w:tblCellMar>
          <w:top w:w="28" w:type="dxa"/>
          <w:left w:w="28" w:type="dxa"/>
          <w:bottom w:w="28" w:type="dxa"/>
          <w:right w:w="28" w:type="dxa"/>
        </w:tblCellMar>
      </w:tblPr>
      <w:tblGrid>
        <w:gridCol w:w="124"/>
        <w:gridCol w:w="256"/>
        <w:gridCol w:w="7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raise additional capital to fund our operations in order to continue as a going concern;</w:t>
            </w:r>
          </w:p>
        </w:tc>
      </w:tr>
    </w:tbl>
    <w:tbl>
      <w:tblPr>
        <w:tblW w:w="5316" w:type="dxa"/>
        <w:jc w:val="left"/>
        <w:tblInd w:w="0" w:type="dxa"/>
        <w:tblLayout w:type="fixed"/>
        <w:tblCellMar>
          <w:top w:w="28" w:type="dxa"/>
          <w:left w:w="28" w:type="dxa"/>
          <w:bottom w:w="28" w:type="dxa"/>
          <w:right w:w="28" w:type="dxa"/>
        </w:tblCellMar>
      </w:tblPr>
      <w:tblGrid>
        <w:gridCol w:w="124"/>
        <w:gridCol w:w="25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lack of revenue and potential inability to be profitable;</w:t>
            </w:r>
          </w:p>
        </w:tc>
      </w:tr>
    </w:tbl>
    <w:tbl>
      <w:tblPr>
        <w:tblW w:w="6306" w:type="dxa"/>
        <w:jc w:val="left"/>
        <w:tblInd w:w="0" w:type="dxa"/>
        <w:tblLayout w:type="fixed"/>
        <w:tblCellMar>
          <w:top w:w="28" w:type="dxa"/>
          <w:left w:w="28" w:type="dxa"/>
          <w:bottom w:w="28" w:type="dxa"/>
          <w:right w:w="28" w:type="dxa"/>
        </w:tblCellMar>
      </w:tblPr>
      <w:tblGrid>
        <w:gridCol w:w="124"/>
        <w:gridCol w:w="256"/>
        <w:gridCol w:w="5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of cash flows and inability to meet working capital needs;</w:t>
            </w:r>
          </w:p>
        </w:tc>
      </w:tr>
    </w:tbl>
    <w:tbl>
      <w:tblPr>
        <w:tblW w:w="9321" w:type="dxa"/>
        <w:jc w:val="left"/>
        <w:tblInd w:w="0" w:type="dxa"/>
        <w:tblLayout w:type="fixed"/>
        <w:tblCellMar>
          <w:top w:w="28" w:type="dxa"/>
          <w:left w:w="28" w:type="dxa"/>
          <w:bottom w:w="28" w:type="dxa"/>
          <w:right w:w="28" w:type="dxa"/>
        </w:tblCellMar>
      </w:tblPr>
      <w:tblGrid>
        <w:gridCol w:w="124"/>
        <w:gridCol w:w="256"/>
        <w:gridCol w:w="8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our October 2025 private placement may make it difficult for us to procure additional financing;</w:t>
            </w:r>
          </w:p>
        </w:tc>
      </w:tr>
    </w:tbl>
    <w:tbl>
      <w:tblPr>
        <w:tblW w:w="3951" w:type="dxa"/>
        <w:jc w:val="left"/>
        <w:tblInd w:w="0" w:type="dxa"/>
        <w:tblLayout w:type="fixed"/>
        <w:tblCellMar>
          <w:top w:w="28" w:type="dxa"/>
          <w:left w:w="28" w:type="dxa"/>
          <w:bottom w:w="28" w:type="dxa"/>
          <w:right w:w="28" w:type="dxa"/>
        </w:tblCellMar>
      </w:tblPr>
      <w:tblGrid>
        <w:gridCol w:w="124"/>
        <w:gridCol w:w="256"/>
        <w:gridCol w:w="3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regulatory approvals;</w:t>
            </w:r>
          </w:p>
        </w:tc>
      </w:tr>
    </w:tbl>
    <w:tbl>
      <w:tblPr>
        <w:tblW w:w="6126" w:type="dxa"/>
        <w:jc w:val="left"/>
        <w:tblInd w:w="0" w:type="dxa"/>
        <w:tblLayout w:type="fixed"/>
        <w:tblCellMar>
          <w:top w:w="28" w:type="dxa"/>
          <w:left w:w="28" w:type="dxa"/>
          <w:bottom w:w="28" w:type="dxa"/>
          <w:right w:w="28" w:type="dxa"/>
        </w:tblCellMar>
      </w:tblPr>
      <w:tblGrid>
        <w:gridCol w:w="124"/>
        <w:gridCol w:w="256"/>
        <w:gridCol w:w="5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favorable pre-clinical and clinical trial results;</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and develop potential product candidates;</w:t>
            </w:r>
          </w:p>
        </w:tc>
      </w:tr>
    </w:tbl>
    <w:tbl>
      <w:tblPr>
        <w:tblW w:w="6141" w:type="dxa"/>
        <w:jc w:val="left"/>
        <w:tblInd w:w="0" w:type="dxa"/>
        <w:tblLayout w:type="fixed"/>
        <w:tblCellMar>
          <w:top w:w="28" w:type="dxa"/>
          <w:left w:w="28" w:type="dxa"/>
          <w:bottom w:w="28" w:type="dxa"/>
          <w:right w:w="28" w:type="dxa"/>
        </w:tblCellMar>
      </w:tblPr>
      <w:tblGrid>
        <w:gridCol w:w="124"/>
        <w:gridCol w:w="256"/>
        <w:gridCol w:w="5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costs or delays associated with unsuccessful clinical trials;</w:t>
            </w:r>
          </w:p>
        </w:tc>
      </w:tr>
    </w:tbl>
    <w:tbl>
      <w:tblPr>
        <w:tblW w:w="6606" w:type="dxa"/>
        <w:jc w:val="left"/>
        <w:tblInd w:w="0" w:type="dxa"/>
        <w:tblLayout w:type="fixed"/>
        <w:tblCellMar>
          <w:top w:w="28" w:type="dxa"/>
          <w:left w:w="28" w:type="dxa"/>
          <w:bottom w:w="28" w:type="dxa"/>
          <w:right w:w="28" w:type="dxa"/>
        </w:tblCellMar>
      </w:tblPr>
      <w:tblGrid>
        <w:gridCol w:w="124"/>
        <w:gridCol w:w="256"/>
        <w:gridCol w:w="6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predict the timing of revenue from sales of a future product;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extensive regulatory requirements and future developmental and regulatory challenges we will still face even if we obtain approval for a product candidate;</w:t>
            </w:r>
          </w:p>
        </w:tc>
      </w:tr>
    </w:tbl>
    <w:tbl>
      <w:tblPr>
        <w:tblW w:w="9411" w:type="dxa"/>
        <w:jc w:val="left"/>
        <w:tblInd w:w="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orphan drug designation or obtain orphan drug exclusivity for our product candidates;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051" w:type="dxa"/>
        <w:jc w:val="left"/>
        <w:tblInd w:w="0" w:type="dxa"/>
        <w:tblLayout w:type="fixed"/>
        <w:tblCellMar>
          <w:top w:w="28" w:type="dxa"/>
          <w:left w:w="28" w:type="dxa"/>
          <w:bottom w:w="28" w:type="dxa"/>
          <w:right w:w="28" w:type="dxa"/>
        </w:tblCellMar>
      </w:tblPr>
      <w:tblGrid>
        <w:gridCol w:w="124"/>
        <w:gridCol w:w="256"/>
        <w:gridCol w:w="8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oversight of programs or product candidates that may be more profitable or more successful;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manufacturing processes may not be validated, and our methodology may not be accepted by the scientific community;</w:t>
            </w:r>
          </w:p>
        </w:tc>
      </w:tr>
    </w:tbl>
    <w:tbl>
      <w:tblPr>
        <w:tblW w:w="8136" w:type="dxa"/>
        <w:jc w:val="left"/>
        <w:tblInd w:w="0" w:type="dxa"/>
        <w:tblLayout w:type="fixed"/>
        <w:tblCellMar>
          <w:top w:w="28" w:type="dxa"/>
          <w:left w:w="28" w:type="dxa"/>
          <w:bottom w:w="28" w:type="dxa"/>
          <w:right w:w="28" w:type="dxa"/>
        </w:tblCellMar>
      </w:tblPr>
      <w:tblGrid>
        <w:gridCol w:w="124"/>
        <w:gridCol w:w="256"/>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conduct clinical trials, because of difficulties enrolling patients or other reasons;</w:t>
            </w:r>
          </w:p>
        </w:tc>
      </w:tr>
    </w:tbl>
    <w:tbl>
      <w:tblPr>
        <w:tblW w:w="7236" w:type="dxa"/>
        <w:jc w:val="left"/>
        <w:tblInd w:w="0" w:type="dxa"/>
        <w:tblLayout w:type="fixed"/>
        <w:tblCellMar>
          <w:top w:w="28" w:type="dxa"/>
          <w:left w:w="28" w:type="dxa"/>
          <w:bottom w:w="28" w:type="dxa"/>
          <w:right w:w="28" w:type="dxa"/>
        </w:tblCellMar>
      </w:tblPr>
      <w:tblGrid>
        <w:gridCol w:w="124"/>
        <w:gridCol w:w="256"/>
        <w:gridCol w:w="6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demands of being a publicly traded company may harm our business;</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adverse effects resulting from failure to maintain effective internal controls;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the applicable continued listing requirements of Nasdaq, including those related to the market value of our listed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negative impact on our securities price and trading volume if securities or industry analysts do not publish reports about us or if they adversely change their recommendations about our business;</w:t>
            </w:r>
          </w:p>
        </w:tc>
      </w:tr>
    </w:tbl>
    <w:tbl>
      <w:tblPr>
        <w:tblW w:w="5076" w:type="dxa"/>
        <w:jc w:val="left"/>
        <w:tblInd w:w="0" w:type="dxa"/>
        <w:tblLayout w:type="fixed"/>
        <w:tblCellMar>
          <w:top w:w="28" w:type="dxa"/>
          <w:left w:w="28" w:type="dxa"/>
          <w:bottom w:w="28" w:type="dxa"/>
          <w:right w:w="28" w:type="dxa"/>
        </w:tblCellMar>
      </w:tblPr>
      <w:tblGrid>
        <w:gridCol w:w="124"/>
        <w:gridCol w:w="256"/>
        <w:gridCol w:w="4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volatility of the market price for our ADSs;</w:t>
            </w:r>
          </w:p>
        </w:tc>
      </w:tr>
    </w:tbl>
    <w:tbl>
      <w:tblPr>
        <w:tblW w:w="8811" w:type="dxa"/>
        <w:jc w:val="left"/>
        <w:tblInd w:w="0" w:type="dxa"/>
        <w:tblLayout w:type="fixed"/>
        <w:tblCellMar>
          <w:top w:w="28" w:type="dxa"/>
          <w:left w:w="28" w:type="dxa"/>
          <w:bottom w:w="28" w:type="dxa"/>
          <w:right w:w="28"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dilution of our shareholders’ potential ownership due to future issuances of share capital;</w:t>
            </w:r>
          </w:p>
        </w:tc>
      </w:tr>
    </w:tbl>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 for holders of ADSs to act through the depositary to exercise their rights;</w:t>
            </w:r>
          </w:p>
        </w:tc>
      </w:tr>
    </w:tbl>
    <w:tbl>
      <w:tblPr>
        <w:tblW w:w="7176" w:type="dxa"/>
        <w:jc w:val="left"/>
        <w:tblInd w:w="0" w:type="dxa"/>
        <w:tblLayout w:type="fixed"/>
        <w:tblCellMar>
          <w:top w:w="28" w:type="dxa"/>
          <w:left w:w="28" w:type="dxa"/>
          <w:bottom w:w="28" w:type="dxa"/>
          <w:right w:w="28" w:type="dxa"/>
        </w:tblCellMar>
      </w:tblPr>
      <w:tblGrid>
        <w:gridCol w:w="124"/>
        <w:gridCol w:w="256"/>
        <w:gridCol w:w="6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limitations on ADS holders with respect to the transfer of their ADSs;</w:t>
            </w:r>
          </w:p>
        </w:tc>
      </w:tr>
    </w:tbl>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of securities class action litigation;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and uncertainties, including those listed under described in Part I – Item 1A. Risk Factors in our Annual Report on Form 10-K for the year ended December 31, 2025 (“Form 10-K”), as well as our subsequent reports filed with the SEC.</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You are urged to carefully review and consider the various disclosures made throughout this Quarterly Report which are designed to advise interested parties of the risks and factors that may affect our business, financial condition, results of operations and prospects.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You should not put undue reliance on any forward-looking statements. Although the forward-looking statements in this Quarterly Report are based on our beliefs, assumptions and expectations, taking into account all information currently available to us, we cannot guarantee future transactions, results, performance, achievements or outcomes. No assurance can be made that the expectations reflected in our forward-looking statements will be attained, or that deviations from them will not be material and adverse. We undertake no obligation to publicly update or revise any forward-looking statements, whether as a result of new information, future events or otherwise, except as required by law.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61" w:name="PARTIFINANCIALINFORMATION_700298"/>
      <w:bookmarkStart w:id="62" w:name="_1948a748_a8cd_4761_b2c9_c61c135fa627"/>
      <w:bookmarkStart w:id="63" w:name="_PART_I_"/>
      <w:bookmarkEnd w:id="61"/>
      <w:bookmarkEnd w:id="62"/>
      <w:bookmarkEnd w:id="63"/>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b/>
          <w:sz w:val="20"/>
        </w:rPr>
      </w:pPr>
      <w:bookmarkStart w:id="64" w:name="Item1FinancialStatements_953101"/>
      <w:bookmarkEnd w:id="64"/>
      <w:r>
        <w:rPr>
          <w:rFonts w:ascii="Times New Roman;Times;serif" w:hAnsi="Times New Roman;Times;serif"/>
          <w:b/>
          <w:sz w:val="20"/>
        </w:rPr>
        <w:t>Item 1. Financial Statements.</w:t>
      </w:r>
    </w:p>
    <w:p>
      <w:pPr>
        <w:pStyle w:val="TextBody"/>
        <w:bidi w:val="0"/>
        <w:spacing w:before="0" w:after="240"/>
        <w:ind w:left="0" w:right="0" w:hanging="0"/>
        <w:jc w:val="left"/>
        <w:rPr>
          <w:rFonts w:ascii="Times New Roman;Times;serif" w:hAnsi="Times New Roman;Times;serif"/>
          <w:b/>
          <w:sz w:val="20"/>
        </w:rPr>
      </w:pPr>
      <w:bookmarkStart w:id="65" w:name="QUOINPHARMACEUTICALSLTD_535732"/>
      <w:bookmarkEnd w:id="65"/>
      <w:r>
        <w:rPr>
          <w:rFonts w:ascii="Times New Roman;Times;serif" w:hAnsi="Times New Roman;Times;serif"/>
          <w:b/>
          <w:sz w:val="20"/>
        </w:rPr>
        <w:t>QUOIN PHARMACEUTICALS LTD.</w:t>
      </w:r>
    </w:p>
    <w:p>
      <w:pPr>
        <w:pStyle w:val="TextBody"/>
        <w:bidi w:val="0"/>
        <w:spacing w:before="0" w:after="240"/>
        <w:ind w:left="0" w:right="0" w:hanging="0"/>
        <w:jc w:val="left"/>
        <w:rPr>
          <w:rFonts w:ascii="Times New Roman;Times;serif" w:hAnsi="Times New Roman;Times;serif"/>
          <w:b/>
          <w:sz w:val="20"/>
        </w:rPr>
      </w:pPr>
      <w:bookmarkStart w:id="66" w:name="ConsolidatedBalanceSheetsUnaudited_13622"/>
      <w:bookmarkEnd w:id="66"/>
      <w:r>
        <w:rPr>
          <w:rFonts w:ascii="Times New Roman;Times;serif" w:hAnsi="Times New Roman;Times;serif"/>
          <w:b/>
          <w:sz w:val="20"/>
        </w:rPr>
        <w:t>Condensed Consolidated Balance Sheets</w:t>
      </w:r>
    </w:p>
    <w:p>
      <w:pPr>
        <w:pStyle w:val="Normal"/>
        <w:bidi w:val="0"/>
        <w:spacing w:before="0" w:after="0"/>
        <w:jc w:val="left"/>
        <w:rPr>
          <w:sz w:val="4"/>
          <w:szCs w:val="4"/>
        </w:rPr>
      </w:pPr>
      <w:r>
        <w:rPr>
          <w:sz w:val="4"/>
          <w:szCs w:val="4"/>
        </w:rPr>
      </w:r>
      <w:bookmarkStart w:id="67" w:name="Tc_udK2jY7PE0u9x7icbulJfg_33_5"/>
      <w:bookmarkStart w:id="68" w:name="Tc_q_oc3AleB0uH_BR7eJVjgQ_33_2"/>
      <w:bookmarkStart w:id="69" w:name="Tc_nhYCMtGuo0mioweKKzdTYg_33_0"/>
      <w:bookmarkStart w:id="70" w:name="Tc_Ibq4KXqPFUetkkIOUt-SpA_31_0"/>
      <w:bookmarkStart w:id="71" w:name="Tc_91WI8f2ynEqatpZW3llRbg_30_0"/>
      <w:bookmarkStart w:id="72" w:name="Tc_CLIDogc7tEiYqEOfHlfrcg_29_0"/>
      <w:bookmarkStart w:id="73" w:name="Tc_UTUHrdTpsUmKahUay0THkg_28_0"/>
      <w:bookmarkStart w:id="74" w:name="Tc_iydSi__j3kG54bb3eh3PLA_27_5"/>
      <w:bookmarkStart w:id="75" w:name="Tc_LIUc4vYFWEqbQqyN_sxRMw_27_2"/>
      <w:bookmarkStart w:id="76" w:name="Tc_9o41ZxM37U2TaAtBF7LKpA_27_0"/>
      <w:bookmarkStart w:id="77" w:name="Tc_NS-jL1ULt0Cnv6HRcxbHTA_26_0"/>
      <w:bookmarkStart w:id="78" w:name="Tc_aHC_BLcKAkm6_bCZzu9ulQ_24_0"/>
      <w:bookmarkStart w:id="79" w:name="Tc__T58QxLC8k6_3gETyh2vQg_22_5"/>
      <w:bookmarkStart w:id="80" w:name="Tc_8jF46jC-10OGiWdqONQkTg_22_2"/>
      <w:bookmarkStart w:id="81" w:name="Tc_1JM7t7o1jk2G6j538IKOMQ_22_0"/>
      <w:bookmarkStart w:id="82" w:name="Tc_NNuVu-bQxE-A7cvn0PWT_g_19_2"/>
      <w:bookmarkStart w:id="83" w:name="Tc_Mfl9xpzYi02Jd_FFpcB-TQ_19_0"/>
      <w:bookmarkStart w:id="84" w:name="Tc_39uMxC82QkCla8tlIjpAyw_17_0"/>
      <w:bookmarkStart w:id="85" w:name="Tc_Jmbvu6qDLkqGNQ1o4IkI1Q_16_0"/>
      <w:bookmarkStart w:id="86" w:name="Tc_Ca417U8fgUaOLlj2HfF5fQ_15_5"/>
      <w:bookmarkStart w:id="87" w:name="Tc_cJzqWD9ZnUi-PfUEzZqErw_15_2"/>
      <w:bookmarkStart w:id="88" w:name="Tc_GmbdoQxB6kKDynvTU5ISOw_15_0"/>
      <w:bookmarkStart w:id="89" w:name="Tc_0mObMB0a60ajvOtWPttGdg_14_0"/>
      <w:bookmarkStart w:id="90" w:name="Tc_uhWPiRoqF063gNKum1lcbA_13_0"/>
      <w:bookmarkStart w:id="91" w:name="Tc_-5ErQi1CJ0aGpgpv_jHnNA_11_5"/>
      <w:bookmarkStart w:id="92" w:name="Tc_05h47dDirkCnVc3J6hAIFQ_11_2"/>
      <w:bookmarkStart w:id="93" w:name="Tc_qgQUpPd09Uel_cmpN5gw-Q_11_0"/>
      <w:bookmarkStart w:id="94" w:name="Tc_PPoALreOM0eMlWsnwl3A2Q_10_0"/>
      <w:bookmarkStart w:id="95" w:name="Tc_4ivy2mEzcE6XjWPqJeXLgw_9_0"/>
      <w:bookmarkStart w:id="96" w:name="Tc_BrYVBXxLnEaLnN8DI-UNgw_8_0"/>
      <w:bookmarkStart w:id="97" w:name="Tc_o76xo1zoMEiNaDEZj4CxBg_7_0"/>
      <w:bookmarkStart w:id="98" w:name="Tc_p5YHqJZrD0CsECVkLMM5LQ_6_5"/>
      <w:bookmarkStart w:id="99" w:name="Tc_RAaRyFA3fk-xNqOz3pdGWA_6_2"/>
      <w:bookmarkStart w:id="100" w:name="Tc_4_VPmH9UNkiaFLUXj0clRw_6_0"/>
      <w:bookmarkStart w:id="101" w:name="Tc_5Akjha8p0USlTNaE6koPpw_5_0"/>
      <w:bookmarkStart w:id="102" w:name="Tc_kjT4tD3bV0qFzo8OY0itmA_4_0"/>
      <w:bookmarkStart w:id="103" w:name="Tc_iAT0KuWd40SWFaETQj10hQ_3_2"/>
      <w:bookmarkStart w:id="104" w:name="Tc_eVtXizVTB0WZSt9v7nOwsA_2_5"/>
      <w:bookmarkStart w:id="105" w:name="Tc_HKw919b-t06kZjcmEVIeRg_2_2"/>
      <w:bookmarkStart w:id="106" w:name="Tc_hlaXxZatvUST1mEwFlIGjg_1_5"/>
      <w:bookmarkStart w:id="107" w:name="Tc_NxjHDIPOLEW6bV7SHEKeYA_1_2"/>
      <w:bookmarkStart w:id="108" w:name="_78e41cb8_c956_4bad_80fb_d23f19b9abb6"/>
      <w:bookmarkStart w:id="109" w:name="Tc_udK2jY7PE0u9x7icbulJfg_33_5"/>
      <w:bookmarkStart w:id="110" w:name="Tc_q_oc3AleB0uH_BR7eJVjgQ_33_2"/>
      <w:bookmarkStart w:id="111" w:name="Tc_nhYCMtGuo0mioweKKzdTYg_33_0"/>
      <w:bookmarkStart w:id="112" w:name="Tc_Ibq4KXqPFUetkkIOUt-SpA_31_0"/>
      <w:bookmarkStart w:id="113" w:name="Tc_91WI8f2ynEqatpZW3llRbg_30_0"/>
      <w:bookmarkStart w:id="114" w:name="Tc_CLIDogc7tEiYqEOfHlfrcg_29_0"/>
      <w:bookmarkStart w:id="115" w:name="Tc_UTUHrdTpsUmKahUay0THkg_28_0"/>
      <w:bookmarkStart w:id="116" w:name="Tc_iydSi__j3kG54bb3eh3PLA_27_5"/>
      <w:bookmarkStart w:id="117" w:name="Tc_LIUc4vYFWEqbQqyN_sxRMw_27_2"/>
      <w:bookmarkStart w:id="118" w:name="Tc_9o41ZxM37U2TaAtBF7LKpA_27_0"/>
      <w:bookmarkStart w:id="119" w:name="Tc_NS-jL1ULt0Cnv6HRcxbHTA_26_0"/>
      <w:bookmarkStart w:id="120" w:name="Tc_aHC_BLcKAkm6_bCZzu9ulQ_24_0"/>
      <w:bookmarkStart w:id="121" w:name="Tc__T58QxLC8k6_3gETyh2vQg_22_5"/>
      <w:bookmarkStart w:id="122" w:name="Tc_8jF46jC-10OGiWdqONQkTg_22_2"/>
      <w:bookmarkStart w:id="123" w:name="Tc_1JM7t7o1jk2G6j538IKOMQ_22_0"/>
      <w:bookmarkStart w:id="124" w:name="Tc_NNuVu-bQxE-A7cvn0PWT_g_19_2"/>
      <w:bookmarkStart w:id="125" w:name="Tc_Mfl9xpzYi02Jd_FFpcB-TQ_19_0"/>
      <w:bookmarkStart w:id="126" w:name="Tc_39uMxC82QkCla8tlIjpAyw_17_0"/>
      <w:bookmarkStart w:id="127" w:name="Tc_Jmbvu6qDLkqGNQ1o4IkI1Q_16_0"/>
      <w:bookmarkStart w:id="128" w:name="Tc_Ca417U8fgUaOLlj2HfF5fQ_15_5"/>
      <w:bookmarkStart w:id="129" w:name="Tc_cJzqWD9ZnUi-PfUEzZqErw_15_2"/>
      <w:bookmarkStart w:id="130" w:name="Tc_GmbdoQxB6kKDynvTU5ISOw_15_0"/>
      <w:bookmarkStart w:id="131" w:name="Tc_0mObMB0a60ajvOtWPttGdg_14_0"/>
      <w:bookmarkStart w:id="132" w:name="Tc_uhWPiRoqF063gNKum1lcbA_13_0"/>
      <w:bookmarkStart w:id="133" w:name="Tc_-5ErQi1CJ0aGpgpv_jHnNA_11_5"/>
      <w:bookmarkStart w:id="134" w:name="Tc_05h47dDirkCnVc3J6hAIFQ_11_2"/>
      <w:bookmarkStart w:id="135" w:name="Tc_qgQUpPd09Uel_cmpN5gw-Q_11_0"/>
      <w:bookmarkStart w:id="136" w:name="Tc_PPoALreOM0eMlWsnwl3A2Q_10_0"/>
      <w:bookmarkStart w:id="137" w:name="Tc_4ivy2mEzcE6XjWPqJeXLgw_9_0"/>
      <w:bookmarkStart w:id="138" w:name="Tc_BrYVBXxLnEaLnN8DI-UNgw_8_0"/>
      <w:bookmarkStart w:id="139" w:name="Tc_o76xo1zoMEiNaDEZj4CxBg_7_0"/>
      <w:bookmarkStart w:id="140" w:name="Tc_p5YHqJZrD0CsECVkLMM5LQ_6_5"/>
      <w:bookmarkStart w:id="141" w:name="Tc_RAaRyFA3fk-xNqOz3pdGWA_6_2"/>
      <w:bookmarkStart w:id="142" w:name="Tc_4_VPmH9UNkiaFLUXj0clRw_6_0"/>
      <w:bookmarkStart w:id="143" w:name="Tc_5Akjha8p0USlTNaE6koPpw_5_0"/>
      <w:bookmarkStart w:id="144" w:name="Tc_kjT4tD3bV0qFzo8OY0itmA_4_0"/>
      <w:bookmarkStart w:id="145" w:name="Tc_iAT0KuWd40SWFaETQj10hQ_3_2"/>
      <w:bookmarkStart w:id="146" w:name="Tc_eVtXizVTB0WZSt9v7nOwsA_2_5"/>
      <w:bookmarkStart w:id="147" w:name="Tc_HKw919b-t06kZjcmEVIeRg_2_2"/>
      <w:bookmarkStart w:id="148" w:name="Tc_hlaXxZatvUST1mEwFlIGjg_1_5"/>
      <w:bookmarkStart w:id="149" w:name="Tc_NxjHDIPOLEW6bV7SHEKeYA_1_2"/>
      <w:bookmarkStart w:id="150" w:name="_78e41cb8_c956_4bad_80fb_d23f19b9abb6"/>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tbl>
      <w:tblPr>
        <w:tblW w:w="10205" w:type="dxa"/>
        <w:jc w:val="left"/>
        <w:tblInd w:w="0" w:type="dxa"/>
        <w:tblLayout w:type="fixed"/>
        <w:tblCellMar>
          <w:top w:w="0" w:type="dxa"/>
          <w:left w:w="0" w:type="dxa"/>
          <w:bottom w:w="0" w:type="dxa"/>
          <w:right w:w="0" w:type="dxa"/>
        </w:tblCellMar>
      </w:tblPr>
      <w:tblGrid>
        <w:gridCol w:w="6827"/>
        <w:gridCol w:w="346"/>
        <w:gridCol w:w="211"/>
        <w:gridCol w:w="1109"/>
        <w:gridCol w:w="346"/>
        <w:gridCol w:w="211"/>
        <w:gridCol w:w="1155"/>
      </w:tblGrid>
      <w:tr>
        <w:trPr/>
        <w:tc>
          <w:tcPr>
            <w:tcW w:w="6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335145" cy="175260"/>
                      <wp:effectExtent l="0" t="0" r="0" b="0"/>
                      <wp:wrapNone/>
                      <wp:docPr id="4" name="Frame4"/>
                      <a:graphic xmlns:a="http://schemas.openxmlformats.org/drawingml/2006/main">
                        <a:graphicData uri="http://schemas.microsoft.com/office/word/2010/wordprocessingShape">
                          <wps:wsp>
                            <wps:cNvSpPr txBox="1"/>
                            <wps:spPr>
                              <a:xfrm>
                                <a:off x="0" y="0"/>
                                <a:ext cx="4335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704215" cy="175260"/>
                      <wp:effectExtent l="0" t="0" r="0" b="0"/>
                      <wp:wrapNone/>
                      <wp:docPr id="7" name="Frame7"/>
                      <a:graphic xmlns:a="http://schemas.openxmlformats.org/drawingml/2006/main">
                        <a:graphicData uri="http://schemas.microsoft.com/office/word/2010/wordprocessingShape">
                          <wps:wsp>
                            <wps:cNvSpPr txBox="1"/>
                            <wps:spPr>
                              <a:xfrm>
                                <a:off x="0" y="0"/>
                                <a:ext cx="704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733425" cy="175260"/>
                      <wp:effectExtent l="0" t="0" r="0" b="0"/>
                      <wp:wrapNone/>
                      <wp:docPr id="10" name="Frame10"/>
                      <a:graphic xmlns:a="http://schemas.openxmlformats.org/drawingml/2006/main">
                        <a:graphicData uri="http://schemas.microsoft.com/office/word/2010/wordprocessingShape">
                          <wps:wsp>
                            <wps:cNvSpPr txBox="1"/>
                            <wps:spPr>
                              <a:xfrm>
                                <a:off x="0" y="0"/>
                                <a:ext cx="733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8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8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 </w:t>
            </w:r>
          </w:p>
        </w:tc>
        <w:tc>
          <w:tcPr>
            <w:tcW w:w="1366" w:type="dxa"/>
            <w:gridSpan w:val="2"/>
            <w:tcBorders/>
            <w:vAlign w:val="center"/>
          </w:tcPr>
          <w:p>
            <w:pPr>
              <w:pStyle w:val="TableContents"/>
              <w:bidi w:val="0"/>
              <w:spacing w:before="0" w:after="0"/>
              <w:ind w:left="0" w:right="0" w:hanging="0"/>
              <w:jc w:val="center"/>
              <w:rPr/>
            </w:pPr>
            <w:r>
              <w:rPr/>
              <w:t>​</w:t>
            </w:r>
          </w:p>
        </w:tc>
      </w:tr>
      <w:tr>
        <w:trPr/>
        <w:tc>
          <w:tcPr>
            <w:tcW w:w="682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center"/>
              <w:rPr/>
            </w:pPr>
            <w:r>
              <w:rPr/>
              <w:t>​</w:t>
            </w:r>
          </w:p>
        </w:tc>
      </w:tr>
      <w:tr>
        <w:trPr/>
        <w:tc>
          <w:tcPr>
            <w:tcW w:w="682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right"/>
              <w:rPr/>
            </w:pPr>
            <w:r>
              <w:rPr/>
              <w:t>  ​</w:t>
            </w:r>
          </w:p>
        </w:tc>
      </w:tr>
      <w:tr>
        <w:trPr/>
        <w:tc>
          <w:tcPr>
            <w:tcW w:w="682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3,845,606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3,818,096</w:t>
            </w:r>
          </w:p>
        </w:tc>
      </w:tr>
      <w:tr>
        <w:trPr/>
        <w:tc>
          <w:tcPr>
            <w:tcW w:w="682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6,954,476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14,927,165</w:t>
            </w:r>
          </w:p>
        </w:tc>
      </w:tr>
      <w:tr>
        <w:trPr/>
        <w:tc>
          <w:tcPr>
            <w:tcW w:w="682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836,146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1,261,974</w:t>
            </w:r>
          </w:p>
        </w:tc>
      </w:tr>
      <w:tr>
        <w:trPr/>
        <w:tc>
          <w:tcPr>
            <w:tcW w:w="682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11,636,228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20,007,235</w:t>
            </w:r>
          </w:p>
        </w:tc>
      </w:tr>
      <w:tr>
        <w:trPr/>
        <w:tc>
          <w:tcPr>
            <w:tcW w:w="682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333,334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383,334</w:t>
            </w:r>
          </w:p>
        </w:tc>
      </w:tr>
      <w:tr>
        <w:trPr/>
        <w:tc>
          <w:tcPr>
            <w:tcW w:w="682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11,969,562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20,390,569</w:t>
            </w:r>
          </w:p>
        </w:tc>
      </w:tr>
      <w:tr>
        <w:trPr/>
        <w:tc>
          <w:tcPr>
            <w:tcW w:w="682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right"/>
              <w:rPr/>
            </w:pPr>
            <w:r>
              <w:rPr/>
              <w:t>​</w:t>
            </w:r>
          </w:p>
        </w:tc>
      </w:tr>
      <w:tr>
        <w:trPr/>
        <w:tc>
          <w:tcPr>
            <w:tcW w:w="682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SHAREHOLDERS’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0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5" w:type="dxa"/>
            <w:tcBorders/>
            <w:vAlign w:val="center"/>
          </w:tcPr>
          <w:p>
            <w:pPr>
              <w:pStyle w:val="TableContents"/>
              <w:bidi w:val="0"/>
              <w:spacing w:before="0" w:after="0"/>
              <w:ind w:left="0" w:right="0" w:hanging="0"/>
              <w:jc w:val="right"/>
              <w:rPr/>
            </w:pPr>
            <w:r>
              <w:rPr/>
              <w:t>  ​</w:t>
            </w:r>
          </w:p>
        </w:tc>
      </w:tr>
      <w:tr>
        <w:trPr/>
        <w:tc>
          <w:tcPr>
            <w:tcW w:w="682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0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5" w:type="dxa"/>
            <w:tcBorders/>
            <w:shd w:fill="CCEEFF" w:val="clear"/>
            <w:vAlign w:val="center"/>
          </w:tcPr>
          <w:p>
            <w:pPr>
              <w:pStyle w:val="TableContents"/>
              <w:bidi w:val="0"/>
              <w:spacing w:before="0" w:after="0"/>
              <w:ind w:left="0" w:right="0" w:hanging="0"/>
              <w:jc w:val="right"/>
              <w:rPr/>
            </w:pPr>
            <w:r>
              <w:rPr/>
              <w:t>  ​</w:t>
            </w:r>
          </w:p>
        </w:tc>
      </w:tr>
      <w:tr>
        <w:trPr/>
        <w:tc>
          <w:tcPr>
            <w:tcW w:w="682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3,109,517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1,262,222</w:t>
            </w:r>
          </w:p>
        </w:tc>
      </w:tr>
      <w:tr>
        <w:trPr/>
        <w:tc>
          <w:tcPr>
            <w:tcW w:w="682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1,757,390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2,538,457</w:t>
            </w:r>
          </w:p>
        </w:tc>
      </w:tr>
      <w:tr>
        <w:trPr/>
        <w:tc>
          <w:tcPr>
            <w:tcW w:w="682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and financing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1,146,251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1,146,251</w:t>
            </w:r>
          </w:p>
        </w:tc>
      </w:tr>
      <w:tr>
        <w:trPr/>
        <w:tc>
          <w:tcPr>
            <w:tcW w:w="6827" w:type="dxa"/>
            <w:tcBorders/>
            <w:shd w:fill="CCEEFF" w:val="clear"/>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officers - short term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600,000</w:t>
            </w:r>
          </w:p>
        </w:tc>
      </w:tr>
      <w:tr>
        <w:trPr/>
        <w:tc>
          <w:tcPr>
            <w:tcW w:w="682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6,613,158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5,546,930</w:t>
            </w:r>
          </w:p>
        </w:tc>
      </w:tr>
      <w:tr>
        <w:trPr/>
        <w:tc>
          <w:tcPr>
            <w:tcW w:w="682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right"/>
              <w:rPr/>
            </w:pPr>
            <w:r>
              <w:rPr/>
              <w:t>​</w:t>
            </w:r>
          </w:p>
        </w:tc>
      </w:tr>
      <w:tr>
        <w:trPr/>
        <w:tc>
          <w:tcPr>
            <w:tcW w:w="6827"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officers - long term</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1,423,733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1,723,733</w:t>
            </w:r>
          </w:p>
        </w:tc>
      </w:tr>
      <w:tr>
        <w:trPr/>
        <w:tc>
          <w:tcPr>
            <w:tcW w:w="682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8,036,891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7,270,663</w:t>
            </w:r>
          </w:p>
        </w:tc>
      </w:tr>
      <w:tr>
        <w:trPr/>
        <w:tc>
          <w:tcPr>
            <w:tcW w:w="68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right"/>
              <w:rPr/>
            </w:pPr>
            <w:r>
              <w:rPr/>
              <w:t>​</w:t>
            </w:r>
          </w:p>
        </w:tc>
      </w:tr>
      <w:tr>
        <w:trPr/>
        <w:tc>
          <w:tcPr>
            <w:tcW w:w="682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0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5" w:type="dxa"/>
            <w:tcBorders/>
            <w:shd w:fill="CCEEFF" w:val="clear"/>
            <w:vAlign w:val="center"/>
          </w:tcPr>
          <w:p>
            <w:pPr>
              <w:pStyle w:val="TableContents"/>
              <w:bidi w:val="0"/>
              <w:spacing w:before="0" w:after="0"/>
              <w:ind w:left="0" w:right="0" w:hanging="0"/>
              <w:jc w:val="right"/>
              <w:rPr/>
            </w:pPr>
            <w:r>
              <w:rPr/>
              <w:t>  ​</w:t>
            </w:r>
          </w:p>
        </w:tc>
      </w:tr>
      <w:tr>
        <w:trPr/>
        <w:tc>
          <w:tcPr>
            <w:tcW w:w="68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right"/>
              <w:rPr/>
            </w:pPr>
            <w:r>
              <w:rPr/>
              <w:t>​</w:t>
            </w:r>
          </w:p>
        </w:tc>
      </w:tr>
      <w:tr>
        <w:trPr/>
        <w:tc>
          <w:tcPr>
            <w:tcW w:w="682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0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5" w:type="dxa"/>
            <w:tcBorders/>
            <w:shd w:fill="CCEEFF" w:val="clear"/>
            <w:vAlign w:val="center"/>
          </w:tcPr>
          <w:p>
            <w:pPr>
              <w:pStyle w:val="TableContents"/>
              <w:bidi w:val="0"/>
              <w:spacing w:before="0" w:after="0"/>
              <w:ind w:left="0" w:right="0" w:hanging="0"/>
              <w:jc w:val="right"/>
              <w:rPr/>
            </w:pPr>
            <w:r>
              <w:rPr/>
              <w:t>  ​</w:t>
            </w:r>
          </w:p>
        </w:tc>
      </w:tr>
      <w:tr>
        <w:trPr/>
        <w:tc>
          <w:tcPr>
            <w:tcW w:w="682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Ordinary shares, no par value per share, 5,000,000,000 authorized at June 30, 2026 and December 31, 2025, respectively - 70,294,615 (2,008,418 ADS’s) ordinary shares issued and outstanding at June 30, 2026 and 52,441,360 (1,498,325 ADS’s) ordinary shares issued and outstanding at December 31, 2025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vAlign w:val="center"/>
          </w:tcPr>
          <w:p>
            <w:pPr>
              <w:pStyle w:val="TableContents"/>
              <w:bidi w:val="0"/>
              <w:spacing w:before="0" w:after="0"/>
              <w:ind w:left="0" w:right="0" w:hanging="0"/>
              <w:jc w:val="right"/>
              <w:rPr/>
            </w:pPr>
            <w:r>
              <w:rPr/>
              <w:t>—</w:t>
            </w:r>
          </w:p>
        </w:tc>
      </w:tr>
      <w:tr>
        <w:trPr/>
        <w:tc>
          <w:tcPr>
            <w:tcW w:w="682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w:t>
            </w:r>
          </w:p>
        </w:tc>
      </w:tr>
      <w:tr>
        <w:trPr/>
        <w:tc>
          <w:tcPr>
            <w:tcW w:w="682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 in capital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85,272,477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84,090,966</w:t>
            </w:r>
          </w:p>
        </w:tc>
      </w:tr>
      <w:tr>
        <w:trPr/>
        <w:tc>
          <w:tcPr>
            <w:tcW w:w="682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(81,339,224)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(70,970,447)</w:t>
            </w:r>
          </w:p>
        </w:tc>
      </w:tr>
      <w:tr>
        <w:trPr/>
        <w:tc>
          <w:tcPr>
            <w:tcW w:w="682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3,932,671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13,119,906</w:t>
            </w:r>
          </w:p>
        </w:tc>
      </w:tr>
      <w:tr>
        <w:trPr/>
        <w:tc>
          <w:tcPr>
            <w:tcW w:w="682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right"/>
              <w:rPr/>
            </w:pPr>
            <w:r>
              <w:rPr/>
              <w:t>​</w:t>
            </w:r>
          </w:p>
        </w:tc>
      </w:tr>
      <w:tr>
        <w:trPr/>
        <w:tc>
          <w:tcPr>
            <w:tcW w:w="682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shareholders’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11,969,562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20,390,569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The accompanying footnotes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51" w:name="_f3dcc52e_57e2_42b4_89fc_8e9746c80675"/>
      <w:bookmarkEnd w:id="151"/>
      <w:r>
        <w:rPr>
          <w:rFonts w:ascii="Times New Roman;Times;serif" w:hAnsi="Times New Roman;Times;serif"/>
          <w:b/>
          <w:sz w:val="20"/>
        </w:rPr>
        <w:t>QUOIN PHARMACEUTICALS LTD.</w:t>
      </w:r>
    </w:p>
    <w:p>
      <w:pPr>
        <w:pStyle w:val="TextBody"/>
        <w:bidi w:val="0"/>
        <w:spacing w:before="0" w:after="240"/>
        <w:ind w:left="0" w:right="0" w:hanging="0"/>
        <w:jc w:val="left"/>
        <w:rPr>
          <w:rFonts w:ascii="Times New Roman;Times;serif" w:hAnsi="Times New Roman;Times;serif"/>
          <w:b/>
          <w:sz w:val="20"/>
        </w:rPr>
      </w:pPr>
      <w:bookmarkStart w:id="152" w:name="ConsolidatedStatementsofOperationsUnaudi"/>
      <w:bookmarkEnd w:id="152"/>
      <w:r>
        <w:rPr>
          <w:rFonts w:ascii="Times New Roman;Times;serif" w:hAnsi="Times New Roman;Times;serif"/>
          <w:b/>
          <w:sz w:val="20"/>
        </w:rPr>
        <w:t>Condensed Consolidated Statements of Operations and Other Comprehensive Loss (Unaudited)</w:t>
      </w:r>
    </w:p>
    <w:p>
      <w:pPr>
        <w:pStyle w:val="Normal"/>
        <w:bidi w:val="0"/>
        <w:spacing w:before="0" w:after="0"/>
        <w:jc w:val="left"/>
        <w:rPr>
          <w:sz w:val="4"/>
          <w:szCs w:val="4"/>
        </w:rPr>
      </w:pPr>
      <w:r>
        <w:rPr>
          <w:sz w:val="4"/>
          <w:szCs w:val="4"/>
        </w:rPr>
      </w:r>
      <w:bookmarkStart w:id="153" w:name="Tc_xYV5Z3UyoUihjnucII3j3g_26_0"/>
      <w:bookmarkStart w:id="154" w:name="Tc_nFSjvaVtMUWNvpzJ6f3ioA_25_0"/>
      <w:bookmarkStart w:id="155" w:name="Tc_WBEhDH2CAUqJuSjJxiODRA_24_0"/>
      <w:bookmarkStart w:id="156" w:name="Tc_i10keVxzA0GYCGo0EmN5ww_22_11"/>
      <w:bookmarkStart w:id="157" w:name="Tc_3KZBVwzD2ESQffxUgitvUg_22_8"/>
      <w:bookmarkStart w:id="158" w:name="Tc_GXfiCmQIzUO0VxFP-VnGUQ_22_5"/>
      <w:bookmarkStart w:id="159" w:name="Tc_u-zEUm_6HEOqak-9YToHUQ_22_2"/>
      <w:bookmarkStart w:id="160" w:name="Tc_RiLqy971NUKUUSNx8JV2tQ_22_0"/>
      <w:bookmarkStart w:id="161" w:name="Tc_84lFV8N8QkKXOessXSrlKw_21_11"/>
      <w:bookmarkStart w:id="162" w:name="Tc_WAtkq4ssbUe0WquMAQBxwg_21_8"/>
      <w:bookmarkStart w:id="163" w:name="Tc_UaQMeZg0IUyaJI4gzfM6eQ_21_5"/>
      <w:bookmarkStart w:id="164" w:name="Tc_3jE_-tRud0CRzVzaigsZWg_21_2"/>
      <w:bookmarkStart w:id="165" w:name="Tc_Acmcv78XWEOax0N0NsR2yA_21_0"/>
      <w:bookmarkStart w:id="166" w:name="Tc_e8NUsbskpEWu4zFVuDD2Yw_20_0"/>
      <w:bookmarkStart w:id="167" w:name="Tc_VmKSkVIt40qwO1UnFyBsIQ_19_0"/>
      <w:bookmarkStart w:id="168" w:name="Tc_gKwBLKPLSEupfUshodtF8A_17_11"/>
      <w:bookmarkStart w:id="169" w:name="Tc_YfinDHblr02j-w3mTAjERw_17_8"/>
      <w:bookmarkStart w:id="170" w:name="Tc_Q7jFbZX_70egQbN2iChD6Q_17_5"/>
      <w:bookmarkStart w:id="171" w:name="Tc_0-NJXCUw00SoepnbzxtsZA_17_2"/>
      <w:bookmarkStart w:id="172" w:name="Tc_-TQumJFDoEWGmIL0eu46rA_17_0"/>
      <w:bookmarkStart w:id="173" w:name="Tc_73xIpnPgaUy7XbCGFCuIsA_16_12"/>
      <w:bookmarkStart w:id="174" w:name="Tc_9v52X6jkdki90DQnuU54XA_16_6"/>
      <w:bookmarkStart w:id="175" w:name="Tc_4eigARBw_0mvv8JQfo5iAQ_16_0"/>
      <w:bookmarkStart w:id="176" w:name="Tc_4mS4RYVL30OUWUtL15AY2A_15_0"/>
      <w:bookmarkStart w:id="177" w:name="Tc_LvyuFqjDbkm3m-H9ROxi-w_13_11"/>
      <w:bookmarkStart w:id="178" w:name="Tc_BdHrzDCnUU2DB3jeq0xLvA_13_8"/>
      <w:bookmarkStart w:id="179" w:name="Tc_Jc-ZUkp4yUCgpuEDRgJSjw_13_5"/>
      <w:bookmarkStart w:id="180" w:name="Tc__yAA-FTmF0mpEhjbtlZfFw_13_2"/>
      <w:bookmarkStart w:id="181" w:name="Tc_5PlW0IT-50y6PNbgipJInQ_13_0"/>
      <w:bookmarkStart w:id="182" w:name="Tc_sw0ecyHNU0i910dN-KDGVQ_12_0"/>
      <w:bookmarkStart w:id="183" w:name="Tc_GKTpqpiH6USJqOW0HH65sw_11_0"/>
      <w:bookmarkStart w:id="184" w:name="Tc_1LFLIYDv3UykQn7IQ1yZKg_10_0"/>
      <w:bookmarkStart w:id="185" w:name="Tc_Q3VljIZqhUizxOPuFTzzhQ_9_0"/>
      <w:bookmarkStart w:id="186" w:name="Tc_y5q4ajAlNkWQr05CoNSM_Q_7_0"/>
      <w:bookmarkStart w:id="187" w:name="Tc__zX0S8QT4UKCjD8e7bZmpg_5_0"/>
      <w:bookmarkStart w:id="188" w:name="Tc_KfmlRJPv60Ky9ancCRw4iQ_4_11"/>
      <w:bookmarkStart w:id="189" w:name="Tc_bYzJIzV9C0KTvfAfqIBalA_4_8"/>
      <w:bookmarkStart w:id="190" w:name="Tc_kMAdDjZoH0ytqecZ_gABHA_4_5"/>
      <w:bookmarkStart w:id="191" w:name="Tc_lWG5JY84b0O2T5bVtthBVQ_4_2"/>
      <w:bookmarkStart w:id="192" w:name="Tc_sUAlu3GO7E-MK8SFV89rGw_4_0"/>
      <w:bookmarkStart w:id="193" w:name="Tc_j_8oei1HLU-88bPSRqfVfg_3_0"/>
      <w:bookmarkStart w:id="194" w:name="Tc_wgoLUZImI0ua9guVWUwlCQ_2_11"/>
      <w:bookmarkStart w:id="195" w:name="Tc_2EpGThmSzkqdTLFkqBFx3Q_2_8"/>
      <w:bookmarkStart w:id="196" w:name="Tc_Olcg9Zc89kG_XLro-rdqoQ_2_5"/>
      <w:bookmarkStart w:id="197" w:name="Tc_O1hePs98-kKS-q-0IbMKeQ_2_2"/>
      <w:bookmarkStart w:id="198" w:name="Tc_-Qz7NWT8vUSUvUPyz4-XsQ_1_8"/>
      <w:bookmarkStart w:id="199" w:name="Tc_pAkItQr4qUSHyeh66t_mZQ_1_2"/>
      <w:bookmarkStart w:id="200" w:name="_f2e36b73_a855_43d6_92cf_de1511bc1263"/>
      <w:bookmarkStart w:id="201" w:name="Tc_xYV5Z3UyoUihjnucII3j3g_26_0"/>
      <w:bookmarkStart w:id="202" w:name="Tc_nFSjvaVtMUWNvpzJ6f3ioA_25_0"/>
      <w:bookmarkStart w:id="203" w:name="Tc_WBEhDH2CAUqJuSjJxiODRA_24_0"/>
      <w:bookmarkStart w:id="204" w:name="Tc_i10keVxzA0GYCGo0EmN5ww_22_11"/>
      <w:bookmarkStart w:id="205" w:name="Tc_3KZBVwzD2ESQffxUgitvUg_22_8"/>
      <w:bookmarkStart w:id="206" w:name="Tc_GXfiCmQIzUO0VxFP-VnGUQ_22_5"/>
      <w:bookmarkStart w:id="207" w:name="Tc_u-zEUm_6HEOqak-9YToHUQ_22_2"/>
      <w:bookmarkStart w:id="208" w:name="Tc_RiLqy971NUKUUSNx8JV2tQ_22_0"/>
      <w:bookmarkStart w:id="209" w:name="Tc_84lFV8N8QkKXOessXSrlKw_21_11"/>
      <w:bookmarkStart w:id="210" w:name="Tc_WAtkq4ssbUe0WquMAQBxwg_21_8"/>
      <w:bookmarkStart w:id="211" w:name="Tc_UaQMeZg0IUyaJI4gzfM6eQ_21_5"/>
      <w:bookmarkStart w:id="212" w:name="Tc_3jE_-tRud0CRzVzaigsZWg_21_2"/>
      <w:bookmarkStart w:id="213" w:name="Tc_Acmcv78XWEOax0N0NsR2yA_21_0"/>
      <w:bookmarkStart w:id="214" w:name="Tc_e8NUsbskpEWu4zFVuDD2Yw_20_0"/>
      <w:bookmarkStart w:id="215" w:name="Tc_VmKSkVIt40qwO1UnFyBsIQ_19_0"/>
      <w:bookmarkStart w:id="216" w:name="Tc_gKwBLKPLSEupfUshodtF8A_17_11"/>
      <w:bookmarkStart w:id="217" w:name="Tc_YfinDHblr02j-w3mTAjERw_17_8"/>
      <w:bookmarkStart w:id="218" w:name="Tc_Q7jFbZX_70egQbN2iChD6Q_17_5"/>
      <w:bookmarkStart w:id="219" w:name="Tc_0-NJXCUw00SoepnbzxtsZA_17_2"/>
      <w:bookmarkStart w:id="220" w:name="Tc_-TQumJFDoEWGmIL0eu46rA_17_0"/>
      <w:bookmarkStart w:id="221" w:name="Tc_73xIpnPgaUy7XbCGFCuIsA_16_12"/>
      <w:bookmarkStart w:id="222" w:name="Tc_9v52X6jkdki90DQnuU54XA_16_6"/>
      <w:bookmarkStart w:id="223" w:name="Tc_4eigARBw_0mvv8JQfo5iAQ_16_0"/>
      <w:bookmarkStart w:id="224" w:name="Tc_4mS4RYVL30OUWUtL15AY2A_15_0"/>
      <w:bookmarkStart w:id="225" w:name="Tc_LvyuFqjDbkm3m-H9ROxi-w_13_11"/>
      <w:bookmarkStart w:id="226" w:name="Tc_BdHrzDCnUU2DB3jeq0xLvA_13_8"/>
      <w:bookmarkStart w:id="227" w:name="Tc_Jc-ZUkp4yUCgpuEDRgJSjw_13_5"/>
      <w:bookmarkStart w:id="228" w:name="Tc__yAA-FTmF0mpEhjbtlZfFw_13_2"/>
      <w:bookmarkStart w:id="229" w:name="Tc_5PlW0IT-50y6PNbgipJInQ_13_0"/>
      <w:bookmarkStart w:id="230" w:name="Tc_sw0ecyHNU0i910dN-KDGVQ_12_0"/>
      <w:bookmarkStart w:id="231" w:name="Tc_GKTpqpiH6USJqOW0HH65sw_11_0"/>
      <w:bookmarkStart w:id="232" w:name="Tc_1LFLIYDv3UykQn7IQ1yZKg_10_0"/>
      <w:bookmarkStart w:id="233" w:name="Tc_Q3VljIZqhUizxOPuFTzzhQ_9_0"/>
      <w:bookmarkStart w:id="234" w:name="Tc_y5q4ajAlNkWQr05CoNSM_Q_7_0"/>
      <w:bookmarkStart w:id="235" w:name="Tc__zX0S8QT4UKCjD8e7bZmpg_5_0"/>
      <w:bookmarkStart w:id="236" w:name="Tc_KfmlRJPv60Ky9ancCRw4iQ_4_11"/>
      <w:bookmarkStart w:id="237" w:name="Tc_bYzJIzV9C0KTvfAfqIBalA_4_8"/>
      <w:bookmarkStart w:id="238" w:name="Tc_kMAdDjZoH0ytqecZ_gABHA_4_5"/>
      <w:bookmarkStart w:id="239" w:name="Tc_lWG5JY84b0O2T5bVtthBVQ_4_2"/>
      <w:bookmarkStart w:id="240" w:name="Tc_sUAlu3GO7E-MK8SFV89rGw_4_0"/>
      <w:bookmarkStart w:id="241" w:name="Tc_j_8oei1HLU-88bPSRqfVfg_3_0"/>
      <w:bookmarkStart w:id="242" w:name="Tc_wgoLUZImI0ua9guVWUwlCQ_2_11"/>
      <w:bookmarkStart w:id="243" w:name="Tc_2EpGThmSzkqdTLFkqBFx3Q_2_8"/>
      <w:bookmarkStart w:id="244" w:name="Tc_Olcg9Zc89kG_XLro-rdqoQ_2_5"/>
      <w:bookmarkStart w:id="245" w:name="Tc_O1hePs98-kKS-q-0IbMKeQ_2_2"/>
      <w:bookmarkStart w:id="246" w:name="Tc_-Qz7NWT8vUSUvUPyz4-XsQ_1_8"/>
      <w:bookmarkStart w:id="247" w:name="Tc_pAkItQr4qUSHyeh66t_mZQ_1_2"/>
      <w:bookmarkStart w:id="248" w:name="_f2e36b73_a855_43d6_92cf_de1511bc1263"/>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tbl>
      <w:tblPr>
        <w:tblW w:w="10205" w:type="dxa"/>
        <w:jc w:val="left"/>
        <w:tblInd w:w="0" w:type="dxa"/>
        <w:tblLayout w:type="fixed"/>
        <w:tblCellMar>
          <w:top w:w="0" w:type="dxa"/>
          <w:left w:w="0" w:type="dxa"/>
          <w:bottom w:w="0" w:type="dxa"/>
          <w:right w:w="0" w:type="dxa"/>
        </w:tblCellMar>
      </w:tblPr>
      <w:tblGrid>
        <w:gridCol w:w="3657"/>
        <w:gridCol w:w="346"/>
        <w:gridCol w:w="211"/>
        <w:gridCol w:w="1042"/>
        <w:gridCol w:w="346"/>
        <w:gridCol w:w="211"/>
        <w:gridCol w:w="1042"/>
        <w:gridCol w:w="346"/>
        <w:gridCol w:w="211"/>
        <w:gridCol w:w="1147"/>
        <w:gridCol w:w="346"/>
        <w:gridCol w:w="211"/>
        <w:gridCol w:w="1089"/>
      </w:tblGrid>
      <w:tr>
        <w:trPr/>
        <w:tc>
          <w:tcPr>
            <w:tcW w:w="3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322195" cy="175260"/>
                      <wp:effectExtent l="0" t="0" r="0" b="0"/>
                      <wp:wrapNone/>
                      <wp:docPr id="11" name="Frame11"/>
                      <a:graphic xmlns:a="http://schemas.openxmlformats.org/drawingml/2006/main">
                        <a:graphicData uri="http://schemas.microsoft.com/office/word/2010/wordprocessingShape">
                          <wps:wsp>
                            <wps:cNvSpPr txBox="1"/>
                            <wps:spPr>
                              <a:xfrm>
                                <a:off x="0" y="0"/>
                                <a:ext cx="2322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1670" cy="175260"/>
                      <wp:effectExtent l="0" t="0" r="0" b="0"/>
                      <wp:wrapNone/>
                      <wp:docPr id="14" name="Frame14"/>
                      <a:graphic xmlns:a="http://schemas.openxmlformats.org/drawingml/2006/main">
                        <a:graphicData uri="http://schemas.microsoft.com/office/word/2010/wordprocessingShape">
                          <wps:wsp>
                            <wps:cNvSpPr txBox="1"/>
                            <wps:spPr>
                              <a:xfrm>
                                <a:off x="0" y="0"/>
                                <a:ext cx="661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61670" cy="175260"/>
                      <wp:effectExtent l="0" t="0" r="0" b="0"/>
                      <wp:wrapNone/>
                      <wp:docPr id="17" name="Frame17"/>
                      <a:graphic xmlns:a="http://schemas.openxmlformats.org/drawingml/2006/main">
                        <a:graphicData uri="http://schemas.microsoft.com/office/word/2010/wordprocessingShape">
                          <wps:wsp>
                            <wps:cNvSpPr txBox="1"/>
                            <wps:spPr>
                              <a:xfrm>
                                <a:off x="0" y="0"/>
                                <a:ext cx="661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728345" cy="175260"/>
                      <wp:effectExtent l="0" t="0" r="0" b="0"/>
                      <wp:wrapNone/>
                      <wp:docPr id="20" name="Frame20"/>
                      <a:graphic xmlns:a="http://schemas.openxmlformats.org/drawingml/2006/main">
                        <a:graphicData uri="http://schemas.microsoft.com/office/word/2010/wordprocessingShape">
                          <wps:wsp>
                            <wps:cNvSpPr txBox="1"/>
                            <wps:spPr>
                              <a:xfrm>
                                <a:off x="0" y="0"/>
                                <a:ext cx="728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91515" cy="175260"/>
                      <wp:effectExtent l="0" t="0" r="0" b="0"/>
                      <wp:wrapNone/>
                      <wp:docPr id="23" name="Frame23"/>
                      <a:graphic xmlns:a="http://schemas.openxmlformats.org/drawingml/2006/main">
                        <a:graphicData uri="http://schemas.microsoft.com/office/word/2010/wordprocessingShape">
                          <wps:wsp>
                            <wps:cNvSpPr txBox="1"/>
                            <wps:spPr>
                              <a:xfrm>
                                <a:off x="0" y="0"/>
                                <a:ext cx="691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5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30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6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3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3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6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9" w:type="dxa"/>
            <w:tcBorders/>
            <w:shd w:fill="CCEEFF" w:val="clear"/>
            <w:vAlign w:val="center"/>
          </w:tcPr>
          <w:p>
            <w:pPr>
              <w:pStyle w:val="TableContents"/>
              <w:bidi w:val="0"/>
              <w:spacing w:before="0" w:after="0"/>
              <w:ind w:left="0" w:right="0" w:hanging="0"/>
              <w:jc w:val="left"/>
              <w:rPr/>
            </w:pPr>
            <w:r>
              <w:rPr/>
              <w:t>​</w:t>
            </w:r>
          </w:p>
        </w:tc>
      </w:tr>
      <w:tr>
        <w:trPr/>
        <w:tc>
          <w:tcPr>
            <w:tcW w:w="36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1,846,406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1,742,594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3,543,854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3,325,632</w:t>
            </w:r>
          </w:p>
        </w:tc>
      </w:tr>
      <w:tr>
        <w:trPr/>
        <w:tc>
          <w:tcPr>
            <w:tcW w:w="36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3,627,168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2,050,585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7,060,930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4,424,724</w:t>
            </w:r>
          </w:p>
        </w:tc>
      </w:tr>
      <w:tr>
        <w:trPr/>
        <w:tc>
          <w:tcPr>
            <w:tcW w:w="36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6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5,473,574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3,793,179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10,604,784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7,750,356</w:t>
            </w:r>
          </w:p>
        </w:tc>
      </w:tr>
      <w:tr>
        <w:trPr/>
        <w:tc>
          <w:tcPr>
            <w:tcW w:w="36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9" w:type="dxa"/>
            <w:tcBorders/>
            <w:vAlign w:val="center"/>
          </w:tcPr>
          <w:p>
            <w:pPr>
              <w:pStyle w:val="TableContents"/>
              <w:bidi w:val="0"/>
              <w:spacing w:before="0" w:after="0"/>
              <w:ind w:left="0" w:right="0" w:hanging="0"/>
              <w:jc w:val="left"/>
              <w:rPr/>
            </w:pPr>
            <w:r>
              <w:rPr/>
              <w:t>​</w:t>
            </w:r>
          </w:p>
        </w:tc>
      </w:tr>
      <w:tr>
        <w:trPr/>
        <w:tc>
          <w:tcPr>
            <w:tcW w:w="36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and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9" w:type="dxa"/>
            <w:tcBorders/>
            <w:shd w:fill="CCEEFF" w:val="clear"/>
            <w:vAlign w:val="center"/>
          </w:tcPr>
          <w:p>
            <w:pPr>
              <w:pStyle w:val="TableContents"/>
              <w:bidi w:val="0"/>
              <w:spacing w:before="0" w:after="0"/>
              <w:ind w:left="0" w:right="0" w:hanging="0"/>
              <w:jc w:val="left"/>
              <w:rPr/>
            </w:pPr>
            <w:r>
              <w:rPr/>
              <w:t>​</w:t>
            </w:r>
          </w:p>
        </w:tc>
      </w:tr>
      <w:tr>
        <w:trPr/>
        <w:tc>
          <w:tcPr>
            <w:tcW w:w="36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5,878</w:t>
            </w:r>
          </w:p>
        </w:tc>
      </w:tr>
      <w:tr>
        <w:trPr/>
        <w:tc>
          <w:tcPr>
            <w:tcW w:w="36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Realized and accrued 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(247,722)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(248,117)</w:t>
            </w:r>
          </w:p>
        </w:tc>
      </w:tr>
      <w:tr>
        <w:trPr/>
        <w:tc>
          <w:tcPr>
            <w:tcW w:w="36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(102,532)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(97,241)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(236,007)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(242,239)</w:t>
            </w:r>
          </w:p>
        </w:tc>
      </w:tr>
      <w:tr>
        <w:trPr/>
        <w:tc>
          <w:tcPr>
            <w:tcW w:w="36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(5,371,042)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(3,695,938)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(10,368,777)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(7,508,117)</w:t>
            </w:r>
          </w:p>
        </w:tc>
      </w:tr>
      <w:tr>
        <w:trPr/>
        <w:tc>
          <w:tcPr>
            <w:tcW w:w="36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9" w:type="dxa"/>
            <w:tcBorders/>
            <w:vAlign w:val="center"/>
          </w:tcPr>
          <w:p>
            <w:pPr>
              <w:pStyle w:val="TableContents"/>
              <w:bidi w:val="0"/>
              <w:spacing w:before="0" w:after="0"/>
              <w:ind w:left="0" w:right="0" w:hanging="0"/>
              <w:jc w:val="left"/>
              <w:rPr/>
            </w:pPr>
            <w:r>
              <w:rPr/>
              <w:t>​</w:t>
            </w:r>
          </w:p>
        </w:tc>
      </w:tr>
      <w:tr>
        <w:trPr/>
        <w:tc>
          <w:tcPr>
            <w:tcW w:w="36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9" w:type="dxa"/>
            <w:tcBorders/>
            <w:shd w:fill="CCEEFF" w:val="clear"/>
            <w:vAlign w:val="center"/>
          </w:tcPr>
          <w:p>
            <w:pPr>
              <w:pStyle w:val="TableContents"/>
              <w:bidi w:val="0"/>
              <w:spacing w:before="0" w:after="0"/>
              <w:ind w:left="0" w:right="0" w:hanging="0"/>
              <w:jc w:val="left"/>
              <w:rPr/>
            </w:pPr>
            <w:r>
              <w:rPr/>
              <w:t>​</w:t>
            </w:r>
          </w:p>
        </w:tc>
      </w:tr>
      <w:tr>
        <w:trPr/>
        <w:tc>
          <w:tcPr>
            <w:tcW w:w="36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6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(5,371,465)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(3,695,938)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(10,368,746)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(7,508,117)</w:t>
            </w:r>
          </w:p>
        </w:tc>
      </w:tr>
      <w:tr>
        <w:trPr/>
        <w:tc>
          <w:tcPr>
            <w:tcW w:w="36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9" w:type="dxa"/>
            <w:tcBorders/>
            <w:vAlign w:val="center"/>
          </w:tcPr>
          <w:p>
            <w:pPr>
              <w:pStyle w:val="TableContents"/>
              <w:bidi w:val="0"/>
              <w:spacing w:before="0" w:after="0"/>
              <w:ind w:left="0" w:right="0" w:hanging="0"/>
              <w:jc w:val="left"/>
              <w:rPr/>
            </w:pPr>
            <w:r>
              <w:rPr/>
              <w:t>​</w:t>
            </w:r>
          </w:p>
        </w:tc>
      </w:tr>
      <w:tr>
        <w:trPr/>
        <w:tc>
          <w:tcPr>
            <w:tcW w:w="365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per ADS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9" w:type="dxa"/>
            <w:tcBorders/>
            <w:shd w:fill="CCEEFF" w:val="clear"/>
            <w:vAlign w:val="center"/>
          </w:tcPr>
          <w:p>
            <w:pPr>
              <w:pStyle w:val="TableContents"/>
              <w:bidi w:val="0"/>
              <w:spacing w:before="0" w:after="0"/>
              <w:ind w:left="0" w:right="0" w:hanging="0"/>
              <w:jc w:val="right"/>
              <w:rPr/>
            </w:pPr>
            <w:r>
              <w:rPr/>
              <w:t>  ​</w:t>
            </w:r>
          </w:p>
        </w:tc>
      </w:tr>
      <w:tr>
        <w:trPr/>
        <w:tc>
          <w:tcPr>
            <w:tcW w:w="36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per ADS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9" w:type="dxa"/>
            <w:tcBorders/>
            <w:vAlign w:val="center"/>
          </w:tcPr>
          <w:p>
            <w:pPr>
              <w:pStyle w:val="TableContents"/>
              <w:bidi w:val="0"/>
              <w:spacing w:before="0" w:after="0"/>
              <w:ind w:left="0" w:right="0" w:hanging="0"/>
              <w:jc w:val="right"/>
              <w:rPr/>
            </w:pPr>
            <w:r>
              <w:rPr/>
              <w:t>  ​</w:t>
            </w:r>
          </w:p>
        </w:tc>
      </w:tr>
      <w:tr>
        <w:trPr/>
        <w:tc>
          <w:tcPr>
            <w:tcW w:w="36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w:t>
            </w:r>
          </w:p>
        </w:tc>
      </w:tr>
      <w:tr>
        <w:trPr/>
        <w:tc>
          <w:tcPr>
            <w:tcW w:w="36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Fully-diluted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w:t>
            </w:r>
          </w:p>
        </w:tc>
      </w:tr>
      <w:tr>
        <w:trPr/>
        <w:tc>
          <w:tcPr>
            <w:tcW w:w="365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9" w:type="dxa"/>
            <w:tcBorders/>
            <w:shd w:fill="CCEEFF" w:val="clear"/>
            <w:vAlign w:val="center"/>
          </w:tcPr>
          <w:p>
            <w:pPr>
              <w:pStyle w:val="TableContents"/>
              <w:bidi w:val="0"/>
              <w:spacing w:before="0" w:after="0"/>
              <w:ind w:left="0" w:right="0" w:hanging="0"/>
              <w:jc w:val="left"/>
              <w:rPr/>
            </w:pPr>
            <w:r>
              <w:rPr/>
              <w:t>​</w:t>
            </w:r>
          </w:p>
        </w:tc>
      </w:tr>
      <w:tr>
        <w:trPr/>
        <w:tc>
          <w:tcPr>
            <w:tcW w:w="36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ADS’s outstanding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9" w:type="dxa"/>
            <w:tcBorders/>
            <w:vAlign w:val="center"/>
          </w:tcPr>
          <w:p>
            <w:pPr>
              <w:pStyle w:val="TableContents"/>
              <w:bidi w:val="0"/>
              <w:spacing w:before="0" w:after="0"/>
              <w:ind w:left="0" w:right="0" w:hanging="0"/>
              <w:jc w:val="right"/>
              <w:rPr/>
            </w:pPr>
            <w:r>
              <w:rPr/>
              <w:t>  ​</w:t>
            </w:r>
          </w:p>
        </w:tc>
      </w:tr>
      <w:tr>
        <w:trPr/>
        <w:tc>
          <w:tcPr>
            <w:tcW w:w="36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2,832,915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588,166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2,831,948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587,253</w:t>
            </w:r>
          </w:p>
        </w:tc>
      </w:tr>
      <w:tr>
        <w:trPr/>
        <w:tc>
          <w:tcPr>
            <w:tcW w:w="36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Fully-diluted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2,832,915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588,166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2,831,948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9"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587,253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The accompanying footnotes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49" w:name="_8997d93a_d5cd_4378_a8fc_9b6ecff949a9"/>
      <w:bookmarkEnd w:id="249"/>
      <w:r>
        <w:rPr>
          <w:rFonts w:ascii="Times New Roman;Times;serif" w:hAnsi="Times New Roman;Times;serif"/>
          <w:b/>
          <w:sz w:val="20"/>
        </w:rPr>
        <w:t>QUOIN PHARMACEUTICALS LTD.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Condensed Consolidated Statements of Shareholders’ Equity (Unaudited)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Three and six months ended June 30, 2025</w:t>
      </w:r>
    </w:p>
    <w:p>
      <w:pPr>
        <w:pStyle w:val="Normal"/>
        <w:bidi w:val="0"/>
        <w:spacing w:before="0" w:after="0"/>
        <w:jc w:val="left"/>
        <w:rPr>
          <w:sz w:val="4"/>
          <w:szCs w:val="4"/>
        </w:rPr>
      </w:pPr>
      <w:r>
        <w:rPr>
          <w:sz w:val="4"/>
          <w:szCs w:val="4"/>
        </w:rPr>
      </w:r>
      <w:bookmarkStart w:id="250" w:name="Tc_dJabek2L0EqyrBEKApkqeA_12_15"/>
      <w:bookmarkStart w:id="251" w:name="Tc_GoMMGrpc-EKHwOl78f8kIw_12_13"/>
      <w:bookmarkStart w:id="252" w:name="Tc_PxS0FlrvMUix54yMJ4CRWA_12_12"/>
      <w:bookmarkStart w:id="253" w:name="Tc_sPr4G2swfkizSi1mfwAN_w_12_9"/>
      <w:bookmarkStart w:id="254" w:name="Tc_jC9X_G5hGEGidkEMmOHw9g_12_6"/>
      <w:bookmarkStart w:id="255" w:name="Tc_A-CKSQ2C0U-kctEvYX_MYg_12_0"/>
      <w:bookmarkStart w:id="256" w:name="Tc_8HLrCPMPzkWcN4bL_jPZHw_11_13"/>
      <w:bookmarkStart w:id="257" w:name="Tc__aOo5ivxAU2ryPH7ylG-bg_11_10"/>
      <w:bookmarkStart w:id="258" w:name="Tc_INaNRex_x0WkSuwOTmIQjg_11_4"/>
      <w:bookmarkStart w:id="259" w:name="Tc_2yK7akVbIU6_l5uXut-b8A_11_2"/>
      <w:bookmarkStart w:id="260" w:name="Tc_4rH0i_p7i0iZ0DRgsBHc0g_11_0"/>
      <w:bookmarkStart w:id="261" w:name="Tc_E59n7i_9zU2woBDmht2N6w_10_13"/>
      <w:bookmarkStart w:id="262" w:name="Tc_lStcoviWrUOW1wm8H9nNgw_10_7"/>
      <w:bookmarkStart w:id="263" w:name="Tc_9CRwvOypvUqiXFuOHy-OIg_10_4"/>
      <w:bookmarkStart w:id="264" w:name="Tc_jaW4T7mVh0-s2fDy8vXFpQ_10_2"/>
      <w:bookmarkStart w:id="265" w:name="Tc_BFl5VVQ_cE6nGHPVtCO4iQ_10_0"/>
      <w:bookmarkStart w:id="266" w:name="Tc_iiXB2H69f0mJ0IJQzf9x1A_9_13"/>
      <w:bookmarkStart w:id="267" w:name="Tc_CuYTsl_C-0WnfarlVtRA-w_9_0"/>
      <w:bookmarkStart w:id="268" w:name="Tc_oYH4mbrAC0C3uhO0axZOgQ_8_13"/>
      <w:bookmarkStart w:id="269" w:name="Tc_wZ4MGDIwbkqxZClgvO6Ibw_8_10"/>
      <w:bookmarkStart w:id="270" w:name="Tc_ft4NCERuskODZMD_xUeQLw_8_4"/>
      <w:bookmarkStart w:id="271" w:name="Tc_GZ3k6Dd7E0usIa3M9ZsxvQ_8_2"/>
      <w:bookmarkStart w:id="272" w:name="Tc_tvUVx-CoQka9PHNmEV5hSg_8_0"/>
      <w:bookmarkStart w:id="273" w:name="Tc_7AppphDTr0ai8KkT5dMu7g_7_13"/>
      <w:bookmarkStart w:id="274" w:name="Tc_d_Ev6iQJ7EqUO-cYUqXIjA_7_10"/>
      <w:bookmarkStart w:id="275" w:name="Tc_OK1N95njVka1sISinWmMYA_7_0"/>
      <w:bookmarkStart w:id="276" w:name="Tc_iwovPckLDEOpMXYmwDiGwA_6_13"/>
      <w:bookmarkStart w:id="277" w:name="Tc_8FCMNWyn5Ee2PPDiy1RAZQ_6_7"/>
      <w:bookmarkStart w:id="278" w:name="Tc_-dgwzb9050yY2uOcKMDATQ_6_4"/>
      <w:bookmarkStart w:id="279" w:name="Tc_lXeQu3Zfb02ds7oWWLb4oA_6_2"/>
      <w:bookmarkStart w:id="280" w:name="Tc_yXjy4Y3djkWU_Xs2ogzXyQ_6_0"/>
      <w:bookmarkStart w:id="281" w:name="Tc_PGT-C-Vka0q84yLl5IvvHQ_5_15"/>
      <w:bookmarkStart w:id="282" w:name="Tc_U59zT7o5cky_mkvI-TNzlQ_5_13"/>
      <w:bookmarkStart w:id="283" w:name="Tc_y3hFKK79d0K4MmrCOOIVRA_5_12"/>
      <w:bookmarkStart w:id="284" w:name="Tc_uqPClO0wsUuzZeCzxKfqxQ_5_9"/>
      <w:bookmarkStart w:id="285" w:name="Tc_dfXxGMkDa0egcEqJ47UOlg_5_6"/>
      <w:bookmarkStart w:id="286" w:name="Tc_03X-KyF140ewyYr5cKBkGg_5_0"/>
      <w:bookmarkStart w:id="287" w:name="Tc_m9fw4mUkqUuBsZLKmxkkow_4_15"/>
      <w:bookmarkStart w:id="288" w:name="Tc_LFaIhJNjJU6b1CbczeRZDA_4_12"/>
      <w:bookmarkStart w:id="289" w:name="Tc_VMNajXXFVEOFVZCup6YRxw_4_9"/>
      <w:bookmarkStart w:id="290" w:name="Tc_qY75zRPAkEmjOn57nTjaFQ_4_6"/>
      <w:bookmarkStart w:id="291" w:name="Tc_u6uqU6llP0qcF8Mketl1Fw_4_4"/>
      <w:bookmarkStart w:id="292" w:name="Tc_VkR6sFvzAk636O9uWrNcpQ_4_2"/>
      <w:bookmarkStart w:id="293" w:name="Tc_veFSAjOyO0-_Jdlaa1XhFQ_3_12"/>
      <w:bookmarkStart w:id="294" w:name="Tc_av7uAxQKiUu-zZaSJBeL0g_3_9"/>
      <w:bookmarkStart w:id="295" w:name="Tc_MkfLPKg7JkeSXstwi_wEJQ_3_6"/>
      <w:bookmarkStart w:id="296" w:name="Tc_7z0zSpLwnki9An0H47msHA_3_2"/>
      <w:bookmarkStart w:id="297" w:name="Tc__mp4SqpqBkuFtVt1SiAcBA_2_12"/>
      <w:bookmarkStart w:id="298" w:name="Tc_kcDb4p6MQE-H2wGpwLp7bQ_2_6"/>
      <w:bookmarkStart w:id="299" w:name="Tc_DpkuDbA9REqxkfqnk1GsCg_1_12"/>
      <w:bookmarkStart w:id="300" w:name="_6ca36931_d12f_494e_838b_d271a920207d"/>
      <w:bookmarkStart w:id="301" w:name="Tc_dJabek2L0EqyrBEKApkqeA_12_15"/>
      <w:bookmarkStart w:id="302" w:name="Tc_GoMMGrpc-EKHwOl78f8kIw_12_13"/>
      <w:bookmarkStart w:id="303" w:name="Tc_PxS0FlrvMUix54yMJ4CRWA_12_12"/>
      <w:bookmarkStart w:id="304" w:name="Tc_sPr4G2swfkizSi1mfwAN_w_12_9"/>
      <w:bookmarkStart w:id="305" w:name="Tc_jC9X_G5hGEGidkEMmOHw9g_12_6"/>
      <w:bookmarkStart w:id="306" w:name="Tc_A-CKSQ2C0U-kctEvYX_MYg_12_0"/>
      <w:bookmarkStart w:id="307" w:name="Tc_8HLrCPMPzkWcN4bL_jPZHw_11_13"/>
      <w:bookmarkStart w:id="308" w:name="Tc__aOo5ivxAU2ryPH7ylG-bg_11_10"/>
      <w:bookmarkStart w:id="309" w:name="Tc_INaNRex_x0WkSuwOTmIQjg_11_4"/>
      <w:bookmarkStart w:id="310" w:name="Tc_2yK7akVbIU6_l5uXut-b8A_11_2"/>
      <w:bookmarkStart w:id="311" w:name="Tc_4rH0i_p7i0iZ0DRgsBHc0g_11_0"/>
      <w:bookmarkStart w:id="312" w:name="Tc_E59n7i_9zU2woBDmht2N6w_10_13"/>
      <w:bookmarkStart w:id="313" w:name="Tc_lStcoviWrUOW1wm8H9nNgw_10_7"/>
      <w:bookmarkStart w:id="314" w:name="Tc_9CRwvOypvUqiXFuOHy-OIg_10_4"/>
      <w:bookmarkStart w:id="315" w:name="Tc_jaW4T7mVh0-s2fDy8vXFpQ_10_2"/>
      <w:bookmarkStart w:id="316" w:name="Tc_BFl5VVQ_cE6nGHPVtCO4iQ_10_0"/>
      <w:bookmarkStart w:id="317" w:name="Tc_iiXB2H69f0mJ0IJQzf9x1A_9_13"/>
      <w:bookmarkStart w:id="318" w:name="Tc_CuYTsl_C-0WnfarlVtRA-w_9_0"/>
      <w:bookmarkStart w:id="319" w:name="Tc_oYH4mbrAC0C3uhO0axZOgQ_8_13"/>
      <w:bookmarkStart w:id="320" w:name="Tc_wZ4MGDIwbkqxZClgvO6Ibw_8_10"/>
      <w:bookmarkStart w:id="321" w:name="Tc_ft4NCERuskODZMD_xUeQLw_8_4"/>
      <w:bookmarkStart w:id="322" w:name="Tc_GZ3k6Dd7E0usIa3M9ZsxvQ_8_2"/>
      <w:bookmarkStart w:id="323" w:name="Tc_tvUVx-CoQka9PHNmEV5hSg_8_0"/>
      <w:bookmarkStart w:id="324" w:name="Tc_7AppphDTr0ai8KkT5dMu7g_7_13"/>
      <w:bookmarkStart w:id="325" w:name="Tc_d_Ev6iQJ7EqUO-cYUqXIjA_7_10"/>
      <w:bookmarkStart w:id="326" w:name="Tc_OK1N95njVka1sISinWmMYA_7_0"/>
      <w:bookmarkStart w:id="327" w:name="Tc_iwovPckLDEOpMXYmwDiGwA_6_13"/>
      <w:bookmarkStart w:id="328" w:name="Tc_8FCMNWyn5Ee2PPDiy1RAZQ_6_7"/>
      <w:bookmarkStart w:id="329" w:name="Tc_-dgwzb9050yY2uOcKMDATQ_6_4"/>
      <w:bookmarkStart w:id="330" w:name="Tc_lXeQu3Zfb02ds7oWWLb4oA_6_2"/>
      <w:bookmarkStart w:id="331" w:name="Tc_yXjy4Y3djkWU_Xs2ogzXyQ_6_0"/>
      <w:bookmarkStart w:id="332" w:name="Tc_PGT-C-Vka0q84yLl5IvvHQ_5_15"/>
      <w:bookmarkStart w:id="333" w:name="Tc_U59zT7o5cky_mkvI-TNzlQ_5_13"/>
      <w:bookmarkStart w:id="334" w:name="Tc_y3hFKK79d0K4MmrCOOIVRA_5_12"/>
      <w:bookmarkStart w:id="335" w:name="Tc_uqPClO0wsUuzZeCzxKfqxQ_5_9"/>
      <w:bookmarkStart w:id="336" w:name="Tc_dfXxGMkDa0egcEqJ47UOlg_5_6"/>
      <w:bookmarkStart w:id="337" w:name="Tc_03X-KyF140ewyYr5cKBkGg_5_0"/>
      <w:bookmarkStart w:id="338" w:name="Tc_m9fw4mUkqUuBsZLKmxkkow_4_15"/>
      <w:bookmarkStart w:id="339" w:name="Tc_LFaIhJNjJU6b1CbczeRZDA_4_12"/>
      <w:bookmarkStart w:id="340" w:name="Tc_VMNajXXFVEOFVZCup6YRxw_4_9"/>
      <w:bookmarkStart w:id="341" w:name="Tc_qY75zRPAkEmjOn57nTjaFQ_4_6"/>
      <w:bookmarkStart w:id="342" w:name="Tc_u6uqU6llP0qcF8Mketl1Fw_4_4"/>
      <w:bookmarkStart w:id="343" w:name="Tc_VkR6sFvzAk636O9uWrNcpQ_4_2"/>
      <w:bookmarkStart w:id="344" w:name="Tc_veFSAjOyO0-_Jdlaa1XhFQ_3_12"/>
      <w:bookmarkStart w:id="345" w:name="Tc_av7uAxQKiUu-zZaSJBeL0g_3_9"/>
      <w:bookmarkStart w:id="346" w:name="Tc_MkfLPKg7JkeSXstwi_wEJQ_3_6"/>
      <w:bookmarkStart w:id="347" w:name="Tc_7z0zSpLwnki9An0H47msHA_3_2"/>
      <w:bookmarkStart w:id="348" w:name="Tc__mp4SqpqBkuFtVt1SiAcBA_2_12"/>
      <w:bookmarkStart w:id="349" w:name="Tc_kcDb4p6MQE-H2wGpwLp7bQ_2_6"/>
      <w:bookmarkStart w:id="350" w:name="Tc_DpkuDbA9REqxkfqnk1GsCg_1_12"/>
      <w:bookmarkStart w:id="351" w:name="_6ca36931_d12f_494e_838b_d271a920207d"/>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tbl>
      <w:tblPr>
        <w:tblW w:w="10205" w:type="dxa"/>
        <w:jc w:val="left"/>
        <w:tblInd w:w="0" w:type="dxa"/>
        <w:tblLayout w:type="fixed"/>
        <w:tblCellMar>
          <w:top w:w="0" w:type="dxa"/>
          <w:left w:w="0" w:type="dxa"/>
          <w:bottom w:w="0" w:type="dxa"/>
          <w:right w:w="0" w:type="dxa"/>
        </w:tblCellMar>
      </w:tblPr>
      <w:tblGrid>
        <w:gridCol w:w="1896"/>
        <w:gridCol w:w="346"/>
        <w:gridCol w:w="916"/>
        <w:gridCol w:w="346"/>
        <w:gridCol w:w="691"/>
        <w:gridCol w:w="346"/>
        <w:gridCol w:w="196"/>
        <w:gridCol w:w="916"/>
        <w:gridCol w:w="346"/>
        <w:gridCol w:w="196"/>
        <w:gridCol w:w="991"/>
        <w:gridCol w:w="346"/>
        <w:gridCol w:w="427"/>
        <w:gridCol w:w="755"/>
        <w:gridCol w:w="346"/>
        <w:gridCol w:w="196"/>
        <w:gridCol w:w="949"/>
      </w:tblGrid>
      <w:tr>
        <w:trPr/>
        <w:tc>
          <w:tcPr>
            <w:tcW w:w="1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203960" cy="175260"/>
                      <wp:effectExtent l="0" t="0" r="0" b="0"/>
                      <wp:wrapNone/>
                      <wp:docPr id="24" name="Frame24"/>
                      <a:graphic xmlns:a="http://schemas.openxmlformats.org/drawingml/2006/main">
                        <a:graphicData uri="http://schemas.microsoft.com/office/word/2010/wordprocessingShape">
                          <wps:wsp>
                            <wps:cNvSpPr txBox="1"/>
                            <wps:spPr>
                              <a:xfrm>
                                <a:off x="0" y="0"/>
                                <a:ext cx="1203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81660" cy="175260"/>
                      <wp:effectExtent l="0" t="0" r="0" b="0"/>
                      <wp:wrapNone/>
                      <wp:docPr id="26" name="Frame2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38785" cy="175260"/>
                      <wp:effectExtent l="0" t="0" r="0" b="0"/>
                      <wp:wrapNone/>
                      <wp:docPr id="28" name="Frame2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24460" cy="175260"/>
                      <wp:effectExtent l="0" t="0" r="0" b="0"/>
                      <wp:wrapNone/>
                      <wp:docPr id="30" name="Frame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81660" cy="175260"/>
                      <wp:effectExtent l="0" t="0" r="0" b="0"/>
                      <wp:wrapNone/>
                      <wp:docPr id="31" name="Frame3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24460" cy="175260"/>
                      <wp:effectExtent l="0" t="0" r="0" b="0"/>
                      <wp:wrapNone/>
                      <wp:docPr id="33" name="Frame3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29285" cy="175260"/>
                      <wp:effectExtent l="0" t="0" r="0" b="0"/>
                      <wp:wrapNone/>
                      <wp:docPr id="34" name="Frame34"/>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71145" cy="175260"/>
                      <wp:effectExtent l="0" t="0" r="0" b="0"/>
                      <wp:wrapNone/>
                      <wp:docPr id="36" name="Frame36"/>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79425" cy="175260"/>
                      <wp:effectExtent l="0" t="0" r="0" b="0"/>
                      <wp:wrapNone/>
                      <wp:docPr id="37" name="Frame37"/>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24460" cy="175260"/>
                      <wp:effectExtent l="0" t="0" r="0" b="0"/>
                      <wp:wrapNone/>
                      <wp:docPr id="39" name="Frame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02615" cy="175260"/>
                      <wp:effectExtent l="0" t="0" r="0" b="0"/>
                      <wp:wrapNone/>
                      <wp:docPr id="40" name="Frame40"/>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9" w:type="dxa"/>
            <w:tcBorders/>
            <w:vAlign w:val="center"/>
          </w:tcPr>
          <w:p>
            <w:pPr>
              <w:pStyle w:val="TableContents"/>
              <w:bidi w:val="0"/>
              <w:spacing w:before="0" w:after="0"/>
              <w:ind w:left="0" w:right="0" w:hanging="0"/>
              <w:jc w:val="center"/>
              <w:rPr/>
            </w:pPr>
            <w:r>
              <w:rPr/>
              <w:t>​</w:t>
            </w:r>
          </w:p>
        </w:tc>
      </w:tr>
      <w:tr>
        <w:trPr/>
        <w:tc>
          <w:tcPr>
            <w:tcW w:w="1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other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9" w:type="dxa"/>
            <w:tcBorders/>
            <w:vAlign w:val="center"/>
          </w:tcPr>
          <w:p>
            <w:pPr>
              <w:pStyle w:val="TableContents"/>
              <w:bidi w:val="0"/>
              <w:spacing w:before="0" w:after="0"/>
              <w:ind w:left="0" w:right="0" w:hanging="0"/>
              <w:jc w:val="center"/>
              <w:rPr/>
            </w:pPr>
            <w:r>
              <w:rPr/>
              <w:t>​</w:t>
            </w:r>
          </w:p>
        </w:tc>
      </w:tr>
      <w:tr>
        <w:trPr/>
        <w:tc>
          <w:tcPr>
            <w:tcW w:w="1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in</w:t>
            </w:r>
          </w:p>
        </w:tc>
        <w:tc>
          <w:tcPr>
            <w:tcW w:w="346" w:type="dxa"/>
            <w:tcBorders/>
            <w:vAlign w:val="center"/>
          </w:tcPr>
          <w:p>
            <w:pPr>
              <w:pStyle w:val="TableContents"/>
              <w:bidi w:val="0"/>
              <w:spacing w:before="0" w:after="0"/>
              <w:ind w:left="0" w:right="0" w:hanging="0"/>
              <w:jc w:val="left"/>
              <w:rPr/>
            </w:pPr>
            <w:r>
              <w:rPr/>
              <w:t>​</w:t>
            </w:r>
          </w:p>
        </w:tc>
        <w:tc>
          <w:tcPr>
            <w:tcW w:w="11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1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comprehensive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9" w:type="dxa"/>
            <w:tcBorders/>
            <w:vAlign w:val="center"/>
          </w:tcPr>
          <w:p>
            <w:pPr>
              <w:pStyle w:val="TableContents"/>
              <w:bidi w:val="0"/>
              <w:spacing w:before="0" w:after="0"/>
              <w:ind w:left="0" w:right="0" w:hanging="0"/>
              <w:jc w:val="center"/>
              <w:rPr/>
            </w:pPr>
            <w:r>
              <w:rPr/>
              <w:t>​</w:t>
            </w:r>
          </w:p>
        </w:tc>
      </w:tr>
      <w:tr>
        <w:trPr/>
        <w:tc>
          <w:tcPr>
            <w:tcW w:w="1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ADS’s</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left"/>
              <w:rPr/>
            </w:pPr>
            <w:r>
              <w:rPr/>
              <w:t>  ​ ​ ​</w:t>
            </w:r>
          </w:p>
        </w:tc>
        <w:tc>
          <w:tcPr>
            <w:tcW w:w="11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0"/>
              <w:ind w:left="0" w:right="0" w:hanging="0"/>
              <w:jc w:val="left"/>
              <w:rPr/>
            </w:pPr>
            <w:r>
              <w:rPr/>
              <w:t>  ​ ​ ​</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9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January 1, 2025</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8,948,164</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255,661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64,370,465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(55,165,792)</w:t>
            </w:r>
          </w:p>
        </w:tc>
        <w:tc>
          <w:tcPr>
            <w:tcW w:w="34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9,204,673</w:t>
            </w:r>
          </w:p>
        </w:tc>
      </w:tr>
      <w:tr>
        <w:trPr/>
        <w:tc>
          <w:tcPr>
            <w:tcW w:w="18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(3,812,179)</w:t>
            </w:r>
          </w:p>
        </w:tc>
        <w:tc>
          <w:tcPr>
            <w:tcW w:w="34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94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(3,812,179)</w:t>
            </w:r>
          </w:p>
        </w:tc>
      </w:tr>
      <w:tr>
        <w:trPr/>
        <w:tc>
          <w:tcPr>
            <w:tcW w:w="18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Exercise of pre-funded warrants and warrants, net </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11,637,666</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332,505</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172,958</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27" w:type="dxa"/>
            <w:tcBorders/>
            <w:shd w:fill="CCEEFF" w:val="clear"/>
            <w:vAlign w:val="center"/>
          </w:tcPr>
          <w:p>
            <w:pPr>
              <w:pStyle w:val="TableContents"/>
              <w:bidi w:val="0"/>
              <w:spacing w:before="0" w:after="0"/>
              <w:ind w:left="0" w:right="0" w:hanging="0"/>
              <w:jc w:val="left"/>
              <w:rPr/>
            </w:pPr>
            <w:r>
              <w:rPr/>
              <w:t>​</w:t>
            </w:r>
          </w:p>
        </w:tc>
        <w:tc>
          <w:tcPr>
            <w:tcW w:w="7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172,958</w:t>
            </w:r>
          </w:p>
        </w:tc>
      </w:tr>
      <w:tr>
        <w:trPr/>
        <w:tc>
          <w:tcPr>
            <w:tcW w:w="18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based compensation</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360,357</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360,357</w:t>
            </w:r>
          </w:p>
        </w:tc>
      </w:tr>
      <w:tr>
        <w:trPr/>
        <w:tc>
          <w:tcPr>
            <w:tcW w:w="189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March 31, 2025</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20,585,830</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588,166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64,903,780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(58,977,971)</w:t>
            </w:r>
          </w:p>
        </w:tc>
        <w:tc>
          <w:tcPr>
            <w:tcW w:w="34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pPr>
            <w:r>
              <w:rPr/>
              <w:t>​</w:t>
            </w:r>
          </w:p>
        </w:tc>
        <w:tc>
          <w:tcPr>
            <w:tcW w:w="7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5,925,809</w:t>
            </w:r>
          </w:p>
        </w:tc>
      </w:tr>
      <w:tr>
        <w:trPr/>
        <w:tc>
          <w:tcPr>
            <w:tcW w:w="18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(3,695,938)</w:t>
            </w:r>
          </w:p>
        </w:tc>
        <w:tc>
          <w:tcPr>
            <w:tcW w:w="34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(3,695,938)</w:t>
            </w:r>
          </w:p>
        </w:tc>
      </w:tr>
      <w:tr>
        <w:trPr/>
        <w:tc>
          <w:tcPr>
            <w:tcW w:w="18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321,486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321,486</w:t>
            </w:r>
          </w:p>
        </w:tc>
      </w:tr>
      <w:tr>
        <w:trPr/>
        <w:tc>
          <w:tcPr>
            <w:tcW w:w="189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June 30, 2025</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20,585,830</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588,166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65,225,266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(62,673,909)</w:t>
            </w:r>
          </w:p>
        </w:tc>
        <w:tc>
          <w:tcPr>
            <w:tcW w:w="346" w:type="dxa"/>
            <w:tcBorders/>
            <w:vAlign w:val="center"/>
          </w:tcPr>
          <w:p>
            <w:pPr>
              <w:pStyle w:val="TableContents"/>
              <w:bidi w:val="0"/>
              <w:spacing w:before="0" w:after="0"/>
              <w:ind w:left="0" w:right="0" w:hanging="0"/>
              <w:jc w:val="left"/>
              <w:rPr/>
            </w:pPr>
            <w:r>
              <w:rPr/>
              <w:t>​</w:t>
            </w:r>
          </w:p>
        </w:tc>
        <w:tc>
          <w:tcPr>
            <w:tcW w:w="4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5"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2,551,357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Three and six months ended June 30, 2026</w:t>
      </w:r>
    </w:p>
    <w:p>
      <w:pPr>
        <w:pStyle w:val="Normal"/>
        <w:bidi w:val="0"/>
        <w:spacing w:before="0" w:after="0"/>
        <w:jc w:val="left"/>
        <w:rPr>
          <w:sz w:val="4"/>
          <w:szCs w:val="4"/>
        </w:rPr>
      </w:pPr>
      <w:r>
        <w:rPr>
          <w:sz w:val="4"/>
          <w:szCs w:val="4"/>
        </w:rPr>
      </w:r>
      <w:bookmarkStart w:id="352" w:name="Tc_KjC3-BGbnUKhXv2pq746nA_15_15"/>
      <w:bookmarkStart w:id="353" w:name="Tc_lkn6wPeE8ka76LET2JbE4w_15_12"/>
      <w:bookmarkStart w:id="354" w:name="Tc_UitnV6PkTE2qiIbc8miAtA_15_9"/>
      <w:bookmarkStart w:id="355" w:name="Tc_0DU5iIlIekuSQTiDvoD8Ag_15_6"/>
      <w:bookmarkStart w:id="356" w:name="Tc_enTpcPYkWkKyBqSE3nbVjA_15_0"/>
      <w:bookmarkStart w:id="357" w:name="Tc_w3Fgvz0OOUaOSt5Rk6i8Iw_14_10"/>
      <w:bookmarkStart w:id="358" w:name="Tc_X9BFyguH4EyiAIERJXLafw_14_7"/>
      <w:bookmarkStart w:id="359" w:name="Tc_-HC5V7rIoESpCExeyRba-g_14_4"/>
      <w:bookmarkStart w:id="360" w:name="Tc_5S1IRKsm6E-Rg1pghUXrHQ_14_2"/>
      <w:bookmarkStart w:id="361" w:name="Tc_4U18EueHr0qN7S4alRkT8Q_14_0"/>
      <w:bookmarkStart w:id="362" w:name="Tc_2nWmYCLZ7UCJ8rdGv1M-oA_13_13"/>
      <w:bookmarkStart w:id="363" w:name="Tc_AE-phaO4D0yPcg87IPXfsw_13_10"/>
      <w:bookmarkStart w:id="364" w:name="Tc_Xi4xd-dQIECBpUjc50bbnw_13_4"/>
      <w:bookmarkStart w:id="365" w:name="Tc_T8r1Nw4XokmM2tXvVQNQMg_13_2"/>
      <w:bookmarkStart w:id="366" w:name="Tc_6viwC0s7HkSOXf9UxKpNRA_13_0"/>
      <w:bookmarkStart w:id="367" w:name="Tc_Emzya0EVhkCPRePpza8n2Q_12_13"/>
      <w:bookmarkStart w:id="368" w:name="Tc_IxPTqd1FOE2CP4abOx8t1Q_12_10"/>
      <w:bookmarkStart w:id="369" w:name="Tc_xGNYnK1B00m3xR5rkBeqNA_12_0"/>
      <w:bookmarkStart w:id="370" w:name="Tc_7IUMvVL-aECKOc3S_XXoAQ_11_13"/>
      <w:bookmarkStart w:id="371" w:name="Tc_Kz4m1RrCdEiGbSHN7QvI3A_11_7"/>
      <w:bookmarkStart w:id="372" w:name="Tc_LvoauCwS706hk4UYczARVQ_11_4"/>
      <w:bookmarkStart w:id="373" w:name="Tc_8UQkhxgFY06JNz_L3ZjWMg_11_2"/>
      <w:bookmarkStart w:id="374" w:name="Tc_CfY9-hKzjUK7nf5A2YOZLw_11_0"/>
      <w:bookmarkStart w:id="375" w:name="Tc_oWlP-Qx_E0yVpv9WWzY9Eg_10_0"/>
      <w:bookmarkStart w:id="376" w:name="Tc_pjwHPHMxtESL14H7aVaB8w_9_10"/>
      <w:bookmarkStart w:id="377" w:name="Tc_9Q4IxLzlsUOyFA8tM_o0ZQ_9_7"/>
      <w:bookmarkStart w:id="378" w:name="Tc_W8sGaOSLKEuHgwZ4jMbDYQ_9_4"/>
      <w:bookmarkStart w:id="379" w:name="Tc_pEWCTqm7GU6H0MbkKJYhTA_9_2"/>
      <w:bookmarkStart w:id="380" w:name="Tc_Ns_Bw98-Nky3RNv0Z8Orzw_9_0"/>
      <w:bookmarkStart w:id="381" w:name="Tc_7H2Fttf5KUS8jFxt18HS5Q_8_13"/>
      <w:bookmarkStart w:id="382" w:name="Tc_STzgzZ2GP0WbeyUxooX7Ng_8_10"/>
      <w:bookmarkStart w:id="383" w:name="Tc_LxKLWWbng0mL9q1AwlKwyg_8_4"/>
      <w:bookmarkStart w:id="384" w:name="Tc_tHCpLbuVYkWNf4ji525uiA_8_2"/>
      <w:bookmarkStart w:id="385" w:name="Tc_Mm1f_k2GSUimEJEEwClmzQ_8_0"/>
      <w:bookmarkStart w:id="386" w:name="Tc_bwICc0tklEKQpH5nyUJGvQ_7_13"/>
      <w:bookmarkStart w:id="387" w:name="Tc_61ciMeekFUmHOjiZhz-7uA_7_10"/>
      <w:bookmarkStart w:id="388" w:name="Tc_fzFJ4XEz30aYO_6aYI8sRQ_7_0"/>
      <w:bookmarkStart w:id="389" w:name="Tc_OFS4sWxdGEKqCBOnxtbehg_6_13"/>
      <w:bookmarkStart w:id="390" w:name="Tc_i3SbxIDgjEGSIHmcEP-F_A_6_7"/>
      <w:bookmarkStart w:id="391" w:name="Tc_tuHtSESKYEONFQ9pSXxA2g_6_4"/>
      <w:bookmarkStart w:id="392" w:name="Tc_Z6Sv4kRHoEW3SmL7xTBizg_6_2"/>
      <w:bookmarkStart w:id="393" w:name="Tc_2cXDtcT33kCJ8T-ST0fhng_6_0"/>
      <w:bookmarkStart w:id="394" w:name="Tc_euHlqRdnzk2WXZ0510W-iA_5_15"/>
      <w:bookmarkStart w:id="395" w:name="Tc_LSEGdPuVMUmOFRSrAHiv9w_5_12"/>
      <w:bookmarkStart w:id="396" w:name="Tc_j39hfRBdh0-qt-XGBTeNGg_5_9"/>
      <w:bookmarkStart w:id="397" w:name="Tc_2JbgAql7zkGIisK9oDALTQ_5_6"/>
      <w:bookmarkStart w:id="398" w:name="Tc_9pyeUJcNMEqow0wKo9L4GQ_5_0"/>
      <w:bookmarkStart w:id="399" w:name="Tc_gU_3cgkuak2K4pYwiYi4Qg_4_15"/>
      <w:bookmarkStart w:id="400" w:name="Tc_ytSLzDUD-E2RlRl3K1pEYg_4_12"/>
      <w:bookmarkStart w:id="401" w:name="Tc_e60Ne8bWVU6vBHMRWvtO1A_4_9"/>
      <w:bookmarkStart w:id="402" w:name="Tc_85546kudOkuFbeUTcCTOkg_4_6"/>
      <w:bookmarkStart w:id="403" w:name="Tc_XguKe9pU70uSqBBu0xblgw_4_4"/>
      <w:bookmarkStart w:id="404" w:name="Tc_MG87p2kKykmvXveVdMfhyw_4_2"/>
      <w:bookmarkStart w:id="405" w:name="Tc_dwAPLRJKakKFhZfCxCjHxA_3_12"/>
      <w:bookmarkStart w:id="406" w:name="Tc_XYRqTdjRpkqJ1SrhiuiIKQ_3_9"/>
      <w:bookmarkStart w:id="407" w:name="Tc_QClWbhw5j0GmpDUrHM-GhA_3_6"/>
      <w:bookmarkStart w:id="408" w:name="Tc_iAJjIIBcSU23buGoEuyXZA_3_2"/>
      <w:bookmarkStart w:id="409" w:name="Tc_40A4qw2DGUOl2vm7WjZ9fA_2_12"/>
      <w:bookmarkStart w:id="410" w:name="Tc_4FD2pAbTD0OICxmt1GXK8g_2_6"/>
      <w:bookmarkStart w:id="411" w:name="Tc_EQ_6orfA2UW1NDtV75R82w_1_12"/>
      <w:bookmarkStart w:id="412" w:name="_98699300_cdf5_4368_a357_92a1e2d6ac29"/>
      <w:bookmarkStart w:id="413" w:name="Tc_KjC3-BGbnUKhXv2pq746nA_15_15"/>
      <w:bookmarkStart w:id="414" w:name="Tc_lkn6wPeE8ka76LET2JbE4w_15_12"/>
      <w:bookmarkStart w:id="415" w:name="Tc_UitnV6PkTE2qiIbc8miAtA_15_9"/>
      <w:bookmarkStart w:id="416" w:name="Tc_0DU5iIlIekuSQTiDvoD8Ag_15_6"/>
      <w:bookmarkStart w:id="417" w:name="Tc_enTpcPYkWkKyBqSE3nbVjA_15_0"/>
      <w:bookmarkStart w:id="418" w:name="Tc_w3Fgvz0OOUaOSt5Rk6i8Iw_14_10"/>
      <w:bookmarkStart w:id="419" w:name="Tc_X9BFyguH4EyiAIERJXLafw_14_7"/>
      <w:bookmarkStart w:id="420" w:name="Tc_-HC5V7rIoESpCExeyRba-g_14_4"/>
      <w:bookmarkStart w:id="421" w:name="Tc_5S1IRKsm6E-Rg1pghUXrHQ_14_2"/>
      <w:bookmarkStart w:id="422" w:name="Tc_4U18EueHr0qN7S4alRkT8Q_14_0"/>
      <w:bookmarkStart w:id="423" w:name="Tc_2nWmYCLZ7UCJ8rdGv1M-oA_13_13"/>
      <w:bookmarkStart w:id="424" w:name="Tc_AE-phaO4D0yPcg87IPXfsw_13_10"/>
      <w:bookmarkStart w:id="425" w:name="Tc_Xi4xd-dQIECBpUjc50bbnw_13_4"/>
      <w:bookmarkStart w:id="426" w:name="Tc_T8r1Nw4XokmM2tXvVQNQMg_13_2"/>
      <w:bookmarkStart w:id="427" w:name="Tc_6viwC0s7HkSOXf9UxKpNRA_13_0"/>
      <w:bookmarkStart w:id="428" w:name="Tc_Emzya0EVhkCPRePpza8n2Q_12_13"/>
      <w:bookmarkStart w:id="429" w:name="Tc_IxPTqd1FOE2CP4abOx8t1Q_12_10"/>
      <w:bookmarkStart w:id="430" w:name="Tc_xGNYnK1B00m3xR5rkBeqNA_12_0"/>
      <w:bookmarkStart w:id="431" w:name="Tc_7IUMvVL-aECKOc3S_XXoAQ_11_13"/>
      <w:bookmarkStart w:id="432" w:name="Tc_Kz4m1RrCdEiGbSHN7QvI3A_11_7"/>
      <w:bookmarkStart w:id="433" w:name="Tc_LvoauCwS706hk4UYczARVQ_11_4"/>
      <w:bookmarkStart w:id="434" w:name="Tc_8UQkhxgFY06JNz_L3ZjWMg_11_2"/>
      <w:bookmarkStart w:id="435" w:name="Tc_CfY9-hKzjUK7nf5A2YOZLw_11_0"/>
      <w:bookmarkStart w:id="436" w:name="Tc_oWlP-Qx_E0yVpv9WWzY9Eg_10_0"/>
      <w:bookmarkStart w:id="437" w:name="Tc_pjwHPHMxtESL14H7aVaB8w_9_10"/>
      <w:bookmarkStart w:id="438" w:name="Tc_9Q4IxLzlsUOyFA8tM_o0ZQ_9_7"/>
      <w:bookmarkStart w:id="439" w:name="Tc_W8sGaOSLKEuHgwZ4jMbDYQ_9_4"/>
      <w:bookmarkStart w:id="440" w:name="Tc_pEWCTqm7GU6H0MbkKJYhTA_9_2"/>
      <w:bookmarkStart w:id="441" w:name="Tc_Ns_Bw98-Nky3RNv0Z8Orzw_9_0"/>
      <w:bookmarkStart w:id="442" w:name="Tc_7H2Fttf5KUS8jFxt18HS5Q_8_13"/>
      <w:bookmarkStart w:id="443" w:name="Tc_STzgzZ2GP0WbeyUxooX7Ng_8_10"/>
      <w:bookmarkStart w:id="444" w:name="Tc_LxKLWWbng0mL9q1AwlKwyg_8_4"/>
      <w:bookmarkStart w:id="445" w:name="Tc_tHCpLbuVYkWNf4ji525uiA_8_2"/>
      <w:bookmarkStart w:id="446" w:name="Tc_Mm1f_k2GSUimEJEEwClmzQ_8_0"/>
      <w:bookmarkStart w:id="447" w:name="Tc_bwICc0tklEKQpH5nyUJGvQ_7_13"/>
      <w:bookmarkStart w:id="448" w:name="Tc_61ciMeekFUmHOjiZhz-7uA_7_10"/>
      <w:bookmarkStart w:id="449" w:name="Tc_fzFJ4XEz30aYO_6aYI8sRQ_7_0"/>
      <w:bookmarkStart w:id="450" w:name="Tc_OFS4sWxdGEKqCBOnxtbehg_6_13"/>
      <w:bookmarkStart w:id="451" w:name="Tc_i3SbxIDgjEGSIHmcEP-F_A_6_7"/>
      <w:bookmarkStart w:id="452" w:name="Tc_tuHtSESKYEONFQ9pSXxA2g_6_4"/>
      <w:bookmarkStart w:id="453" w:name="Tc_Z6Sv4kRHoEW3SmL7xTBizg_6_2"/>
      <w:bookmarkStart w:id="454" w:name="Tc_2cXDtcT33kCJ8T-ST0fhng_6_0"/>
      <w:bookmarkStart w:id="455" w:name="Tc_euHlqRdnzk2WXZ0510W-iA_5_15"/>
      <w:bookmarkStart w:id="456" w:name="Tc_LSEGdPuVMUmOFRSrAHiv9w_5_12"/>
      <w:bookmarkStart w:id="457" w:name="Tc_j39hfRBdh0-qt-XGBTeNGg_5_9"/>
      <w:bookmarkStart w:id="458" w:name="Tc_2JbgAql7zkGIisK9oDALTQ_5_6"/>
      <w:bookmarkStart w:id="459" w:name="Tc_9pyeUJcNMEqow0wKo9L4GQ_5_0"/>
      <w:bookmarkStart w:id="460" w:name="Tc_gU_3cgkuak2K4pYwiYi4Qg_4_15"/>
      <w:bookmarkStart w:id="461" w:name="Tc_ytSLzDUD-E2RlRl3K1pEYg_4_12"/>
      <w:bookmarkStart w:id="462" w:name="Tc_e60Ne8bWVU6vBHMRWvtO1A_4_9"/>
      <w:bookmarkStart w:id="463" w:name="Tc_85546kudOkuFbeUTcCTOkg_4_6"/>
      <w:bookmarkStart w:id="464" w:name="Tc_XguKe9pU70uSqBBu0xblgw_4_4"/>
      <w:bookmarkStart w:id="465" w:name="Tc_MG87p2kKykmvXveVdMfhyw_4_2"/>
      <w:bookmarkStart w:id="466" w:name="Tc_dwAPLRJKakKFhZfCxCjHxA_3_12"/>
      <w:bookmarkStart w:id="467" w:name="Tc_XYRqTdjRpkqJ1SrhiuiIKQ_3_9"/>
      <w:bookmarkStart w:id="468" w:name="Tc_QClWbhw5j0GmpDUrHM-GhA_3_6"/>
      <w:bookmarkStart w:id="469" w:name="Tc_iAJjIIBcSU23buGoEuyXZA_3_2"/>
      <w:bookmarkStart w:id="470" w:name="Tc_40A4qw2DGUOl2vm7WjZ9fA_2_12"/>
      <w:bookmarkStart w:id="471" w:name="Tc_4FD2pAbTD0OICxmt1GXK8g_2_6"/>
      <w:bookmarkStart w:id="472" w:name="Tc_EQ_6orfA2UW1NDtV75R82w_1_12"/>
      <w:bookmarkStart w:id="473" w:name="_98699300_cdf5_4368_a357_92a1e2d6ac29"/>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tbl>
      <w:tblPr>
        <w:tblW w:w="10205" w:type="dxa"/>
        <w:jc w:val="left"/>
        <w:tblInd w:w="0" w:type="dxa"/>
        <w:tblLayout w:type="fixed"/>
        <w:tblCellMar>
          <w:top w:w="0" w:type="dxa"/>
          <w:left w:w="0" w:type="dxa"/>
          <w:bottom w:w="0" w:type="dxa"/>
          <w:right w:w="0" w:type="dxa"/>
        </w:tblCellMar>
      </w:tblPr>
      <w:tblGrid>
        <w:gridCol w:w="1742"/>
        <w:gridCol w:w="346"/>
        <w:gridCol w:w="916"/>
        <w:gridCol w:w="346"/>
        <w:gridCol w:w="826"/>
        <w:gridCol w:w="346"/>
        <w:gridCol w:w="196"/>
        <w:gridCol w:w="916"/>
        <w:gridCol w:w="346"/>
        <w:gridCol w:w="196"/>
        <w:gridCol w:w="990"/>
        <w:gridCol w:w="346"/>
        <w:gridCol w:w="365"/>
        <w:gridCol w:w="816"/>
        <w:gridCol w:w="346"/>
        <w:gridCol w:w="196"/>
        <w:gridCol w:w="970"/>
      </w:tblGrid>
      <w:tr>
        <w:trPr/>
        <w:tc>
          <w:tcPr>
            <w:tcW w:w="1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106170" cy="175260"/>
                      <wp:effectExtent l="0" t="0" r="0" b="0"/>
                      <wp:wrapNone/>
                      <wp:docPr id="41" name="Frame41"/>
                      <a:graphic xmlns:a="http://schemas.openxmlformats.org/drawingml/2006/main">
                        <a:graphicData uri="http://schemas.microsoft.com/office/word/2010/wordprocessingShape">
                          <wps:wsp>
                            <wps:cNvSpPr txBox="1"/>
                            <wps:spPr>
                              <a:xfrm>
                                <a:off x="0" y="0"/>
                                <a:ext cx="1106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81660" cy="175260"/>
                      <wp:effectExtent l="0" t="0" r="0" b="0"/>
                      <wp:wrapNone/>
                      <wp:docPr id="43" name="Frame4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24510" cy="175260"/>
                      <wp:effectExtent l="0" t="0" r="0" b="0"/>
                      <wp:wrapNone/>
                      <wp:docPr id="45" name="Frame4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24460" cy="175260"/>
                      <wp:effectExtent l="0" t="0" r="0" b="0"/>
                      <wp:wrapNone/>
                      <wp:docPr id="47" name="Frame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81660" cy="175260"/>
                      <wp:effectExtent l="0" t="0" r="0" b="0"/>
                      <wp:wrapNone/>
                      <wp:docPr id="48" name="Frame4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24460" cy="175260"/>
                      <wp:effectExtent l="0" t="0" r="0" b="0"/>
                      <wp:wrapNone/>
                      <wp:docPr id="50" name="Frame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28650" cy="175260"/>
                      <wp:effectExtent l="0" t="0" r="0" b="0"/>
                      <wp:wrapNone/>
                      <wp:docPr id="51" name="Frame51"/>
                      <a:graphic xmlns:a="http://schemas.openxmlformats.org/drawingml/2006/main">
                        <a:graphicData uri="http://schemas.microsoft.com/office/word/2010/wordprocessingShape">
                          <wps:wsp>
                            <wps:cNvSpPr txBox="1"/>
                            <wps:spPr>
                              <a:xfrm>
                                <a:off x="0" y="0"/>
                                <a:ext cx="628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31775" cy="175260"/>
                      <wp:effectExtent l="0" t="0" r="0" b="0"/>
                      <wp:wrapNone/>
                      <wp:docPr id="53" name="Frame53"/>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18160" cy="175260"/>
                      <wp:effectExtent l="0" t="0" r="0" b="0"/>
                      <wp:wrapNone/>
                      <wp:docPr id="54" name="Frame54"/>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24460" cy="175260"/>
                      <wp:effectExtent l="0" t="0" r="0" b="0"/>
                      <wp:wrapNone/>
                      <wp:docPr id="56" name="Frame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15950" cy="175260"/>
                      <wp:effectExtent l="0" t="0" r="0" b="0"/>
                      <wp:wrapNone/>
                      <wp:docPr id="57" name="Frame57"/>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center"/>
              <w:rPr/>
            </w:pPr>
            <w:r>
              <w:rPr/>
              <w:t>​</w:t>
            </w:r>
          </w:p>
        </w:tc>
        <w:tc>
          <w:tcPr>
            <w:tcW w:w="99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970" w:type="dxa"/>
            <w:tcBorders/>
            <w:vAlign w:val="center"/>
          </w:tcPr>
          <w:p>
            <w:pPr>
              <w:pStyle w:val="TableContents"/>
              <w:bidi w:val="0"/>
              <w:spacing w:before="0" w:after="0"/>
              <w:ind w:left="0" w:right="0" w:hanging="0"/>
              <w:jc w:val="center"/>
              <w:rPr/>
            </w:pPr>
            <w:r>
              <w:rPr/>
              <w:t>​</w:t>
            </w:r>
          </w:p>
        </w:tc>
      </w:tr>
      <w:tr>
        <w:trPr/>
        <w:tc>
          <w:tcPr>
            <w:tcW w:w="17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9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other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970" w:type="dxa"/>
            <w:tcBorders/>
            <w:vAlign w:val="center"/>
          </w:tcPr>
          <w:p>
            <w:pPr>
              <w:pStyle w:val="TableContents"/>
              <w:bidi w:val="0"/>
              <w:spacing w:before="0" w:after="0"/>
              <w:ind w:left="0" w:right="0" w:hanging="0"/>
              <w:jc w:val="center"/>
              <w:rPr/>
            </w:pPr>
            <w:r>
              <w:rPr/>
              <w:t>​</w:t>
            </w:r>
          </w:p>
        </w:tc>
      </w:tr>
      <w:tr>
        <w:trPr/>
        <w:tc>
          <w:tcPr>
            <w:tcW w:w="17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in</w:t>
            </w:r>
          </w:p>
        </w:tc>
        <w:tc>
          <w:tcPr>
            <w:tcW w:w="346" w:type="dxa"/>
            <w:tcBorders/>
            <w:vAlign w:val="center"/>
          </w:tcPr>
          <w:p>
            <w:pPr>
              <w:pStyle w:val="TableContents"/>
              <w:bidi w:val="0"/>
              <w:spacing w:before="0" w:after="0"/>
              <w:ind w:left="0" w:right="0" w:hanging="0"/>
              <w:jc w:val="left"/>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1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comprehensive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970" w:type="dxa"/>
            <w:tcBorders/>
            <w:vAlign w:val="center"/>
          </w:tcPr>
          <w:p>
            <w:pPr>
              <w:pStyle w:val="TableContents"/>
              <w:bidi w:val="0"/>
              <w:spacing w:before="0" w:after="0"/>
              <w:ind w:left="0" w:right="0" w:hanging="0"/>
              <w:jc w:val="center"/>
              <w:rPr/>
            </w:pPr>
            <w:r>
              <w:rPr/>
              <w:t>​</w:t>
            </w:r>
          </w:p>
        </w:tc>
      </w:tr>
      <w:tr>
        <w:trPr/>
        <w:tc>
          <w:tcPr>
            <w:tcW w:w="17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ADS’s</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left"/>
              <w:rPr/>
            </w:pPr>
            <w:r>
              <w:rPr/>
              <w:t>  ​ ​ ​</w:t>
            </w:r>
          </w:p>
        </w:tc>
        <w:tc>
          <w:tcPr>
            <w:tcW w:w="11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0"/>
              <w:ind w:left="0" w:right="0" w:hanging="0"/>
              <w:jc w:val="left"/>
              <w:rPr/>
            </w:pPr>
            <w:r>
              <w:rPr/>
              <w:t>  ​ ​ ​</w:t>
            </w:r>
          </w:p>
        </w:tc>
        <w:tc>
          <w:tcPr>
            <w:tcW w:w="11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4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January 1, 2026</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52,441,360</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1,498,325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84,090,966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(70,970,447)</w:t>
            </w:r>
          </w:p>
        </w:tc>
        <w:tc>
          <w:tcPr>
            <w:tcW w:w="34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13,119,906</w:t>
            </w:r>
          </w:p>
        </w:tc>
      </w:tr>
      <w:tr>
        <w:trPr/>
        <w:tc>
          <w:tcPr>
            <w:tcW w:w="174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99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(4,997,735)</w:t>
            </w:r>
          </w:p>
        </w:tc>
        <w:tc>
          <w:tcPr>
            <w:tcW w:w="34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(4,997,735)</w:t>
            </w:r>
          </w:p>
        </w:tc>
      </w:tr>
      <w:tr>
        <w:trPr/>
        <w:tc>
          <w:tcPr>
            <w:tcW w:w="174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pre-funded warrants and warrants, net</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16,200,835</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462,881</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205,982</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65"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205,982</w:t>
            </w:r>
          </w:p>
        </w:tc>
      </w:tr>
      <w:tr>
        <w:trPr/>
        <w:tc>
          <w:tcPr>
            <w:tcW w:w="174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based compensation</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444,525</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444,525</w:t>
            </w:r>
          </w:p>
        </w:tc>
      </w:tr>
      <w:tr>
        <w:trPr/>
        <w:tc>
          <w:tcPr>
            <w:tcW w:w="174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Cumulative Translation Adjustment</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454</w:t>
            </w:r>
          </w:p>
        </w:tc>
      </w:tr>
      <w:tr>
        <w:trPr/>
        <w:tc>
          <w:tcPr>
            <w:tcW w:w="1742"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March 31, 2026</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68,642,195</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1,961,206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84,741,473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(75,968,182)</w:t>
            </w:r>
          </w:p>
        </w:tc>
        <w:tc>
          <w:tcPr>
            <w:tcW w:w="34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8,773,132</w:t>
            </w:r>
          </w:p>
        </w:tc>
      </w:tr>
      <w:tr>
        <w:trPr/>
        <w:tc>
          <w:tcPr>
            <w:tcW w:w="174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(5,371,042)</w:t>
            </w:r>
          </w:p>
        </w:tc>
        <w:tc>
          <w:tcPr>
            <w:tcW w:w="34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(5,371,042)</w:t>
            </w:r>
          </w:p>
        </w:tc>
      </w:tr>
      <w:tr>
        <w:trPr/>
        <w:tc>
          <w:tcPr>
            <w:tcW w:w="174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pre-funded warrants, net</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1,652,420</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47,212</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(1,947)</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(1,947)</w:t>
            </w:r>
          </w:p>
        </w:tc>
      </w:tr>
      <w:tr>
        <w:trPr/>
        <w:tc>
          <w:tcPr>
            <w:tcW w:w="174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532,951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532,951</w:t>
            </w:r>
          </w:p>
        </w:tc>
      </w:tr>
      <w:tr>
        <w:trPr/>
        <w:tc>
          <w:tcPr>
            <w:tcW w:w="174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Cumulative Translation Adjustment</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(423)</w:t>
            </w:r>
          </w:p>
        </w:tc>
      </w:tr>
      <w:tr>
        <w:trPr/>
        <w:tc>
          <w:tcPr>
            <w:tcW w:w="174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70,294,615</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2,008,418</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85,272,477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(81,339,224)</w:t>
            </w:r>
          </w:p>
        </w:tc>
        <w:tc>
          <w:tcPr>
            <w:tcW w:w="346" w:type="dxa"/>
            <w:tcBorders/>
            <w:shd w:fill="CCEEFF" w:val="clear"/>
            <w:vAlign w:val="center"/>
          </w:tcPr>
          <w:p>
            <w:pPr>
              <w:pStyle w:val="TableContents"/>
              <w:bidi w:val="0"/>
              <w:spacing w:before="0" w:after="0"/>
              <w:ind w:left="0" w:right="0" w:hanging="0"/>
              <w:jc w:val="left"/>
              <w:rPr/>
            </w:pPr>
            <w:r>
              <w:rPr/>
              <w:t>​</w:t>
            </w:r>
          </w:p>
        </w:tc>
        <w:tc>
          <w:tcPr>
            <w:tcW w:w="3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3,932,671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The accompanying footnotes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74" w:name="_9543f1e3_3f26_479e_a060_c78e51a86b60"/>
      <w:bookmarkEnd w:id="474"/>
      <w:r>
        <w:rPr>
          <w:rFonts w:ascii="Times New Roman;Times;serif" w:hAnsi="Times New Roman;Times;serif"/>
          <w:b/>
          <w:sz w:val="20"/>
        </w:rPr>
        <w:t>QUOIN PHARMACEUTICALS LTD.</w:t>
      </w:r>
    </w:p>
    <w:p>
      <w:pPr>
        <w:pStyle w:val="TextBody"/>
        <w:bidi w:val="0"/>
        <w:spacing w:before="0" w:after="240"/>
        <w:ind w:left="0" w:right="0" w:hanging="0"/>
        <w:jc w:val="left"/>
        <w:rPr>
          <w:rFonts w:ascii="Times New Roman;Times;serif" w:hAnsi="Times New Roman;Times;serif"/>
          <w:b/>
          <w:sz w:val="20"/>
        </w:rPr>
      </w:pPr>
      <w:bookmarkStart w:id="475" w:name="ConsolidatedStatementsofCashFlowsunaudit"/>
      <w:bookmarkEnd w:id="475"/>
      <w:r>
        <w:rPr>
          <w:rFonts w:ascii="Times New Roman;Times;serif" w:hAnsi="Times New Roman;Times;serif"/>
          <w:b/>
          <w:sz w:val="20"/>
        </w:rPr>
        <w:t>Condensed Consolidated Statements of Cash Flows (unaudited)</w:t>
      </w:r>
    </w:p>
    <w:p>
      <w:pPr>
        <w:pStyle w:val="Normal"/>
        <w:bidi w:val="0"/>
        <w:spacing w:before="0" w:after="0"/>
        <w:jc w:val="left"/>
        <w:rPr>
          <w:sz w:val="4"/>
          <w:szCs w:val="4"/>
        </w:rPr>
      </w:pPr>
      <w:r>
        <w:rPr>
          <w:sz w:val="4"/>
          <w:szCs w:val="4"/>
        </w:rPr>
      </w:r>
      <w:bookmarkStart w:id="476" w:name="Tc_JP4-OZIJdU-1LKTFzpHz1A_27_5"/>
      <w:bookmarkStart w:id="477" w:name="Tc_3hmkNZe9skOCFxvR0TlU9A_27_2"/>
      <w:bookmarkStart w:id="478" w:name="Tc_lnMGzZs7fE2hiDomaKckNA_27_0"/>
      <w:bookmarkStart w:id="479" w:name="Tc_BqbPy9baLE-fUsxr64zJ2Q_26_0"/>
      <w:bookmarkStart w:id="480" w:name="Tc_mFe8fq6pzUS8sXulsPzXmA_25_0"/>
      <w:bookmarkStart w:id="481" w:name="Tc_covO30iLOkqw_93zQTpybw_23_6"/>
      <w:bookmarkStart w:id="482" w:name="Tc_bW66ouRwrkm3bVdmw3PQUQ_23_0"/>
      <w:bookmarkStart w:id="483" w:name="Tc_GSnCCwwNh0mreUiiBatysQ_21_5"/>
      <w:bookmarkStart w:id="484" w:name="Tc_t-HTm0hImUCigBEqsZI38g_21_2"/>
      <w:bookmarkStart w:id="485" w:name="Tc_BEkBGxSPm0aUEQfvB0xWlQ_21_0"/>
      <w:bookmarkStart w:id="486" w:name="Tc_Bejn5dbhRkan5RHxAifJpg_20_0"/>
      <w:bookmarkStart w:id="487" w:name="Tc_GvstmcPekk-iqyg5tGzAUg_19_5"/>
      <w:bookmarkStart w:id="488" w:name="Tc_2CcHQK-ebUysr2-0s5gVUw_19_2"/>
      <w:bookmarkStart w:id="489" w:name="Tc_8c5gMJZNk0amAZZcVmg2_Q_19_0"/>
      <w:bookmarkStart w:id="490" w:name="Tc_Y1LtMJ1SXUSXFSPMGv2nzQ_18_0"/>
      <w:bookmarkStart w:id="491" w:name="Tc_j9FG8qOrZkiae_PsC91b0A_16_5"/>
      <w:bookmarkStart w:id="492" w:name="Tc_S61vzDzBy0OzlznU1MHp3g_16_2"/>
      <w:bookmarkStart w:id="493" w:name="Tc_qbpoFfEQQUyNiNZxj1Uh0w_16_0"/>
      <w:bookmarkStart w:id="494" w:name="Tc_4DH9EclRuEOoklAGuLMLNQ_15_0"/>
      <w:bookmarkStart w:id="495" w:name="Tc_bV0OjdEV90yuN6ZlwBnmaA_14_6"/>
      <w:bookmarkStart w:id="496" w:name="Tc_0gVFU2m_v0GE5X7fePNEWw_14_5"/>
      <w:bookmarkStart w:id="497" w:name="Tc_Vh3Zy26rE0Gmk8dJEL7gLA_14_2"/>
      <w:bookmarkStart w:id="498" w:name="Tc_C0NRd9AptkORlXj3EE6Rcw_14_0"/>
      <w:bookmarkStart w:id="499" w:name="Tc_dwsHRtyHc0-5lQM2p7tysQ_13_0"/>
      <w:bookmarkStart w:id="500" w:name="Tc_Qqp6Tn_qo0mCCbBjB5i33A_11_5"/>
      <w:bookmarkStart w:id="501" w:name="Tc_VZ9J-wHgTUamkWsVxe-cCw_11_2"/>
      <w:bookmarkStart w:id="502" w:name="Tc_JQgPrnobkkK0tb4WnIW9Bw_11_0"/>
      <w:bookmarkStart w:id="503" w:name="Tc_PNtrdDzNNkGp_CdA1zJAYw_10_0"/>
      <w:bookmarkStart w:id="504" w:name="Tc_d7_tMhDevUy0AV3A-ynI0w_9_0"/>
      <w:bookmarkStart w:id="505" w:name="Tc_O3WV80FbBUmDcdVdMw1vOA_8_0"/>
      <w:bookmarkStart w:id="506" w:name="Tc__k3XuoG740O29tT2hcAY-A_7_0"/>
      <w:bookmarkStart w:id="507" w:name="Tc_efLwc2RVUEyvQfFO2u8xEQ_6_0"/>
      <w:bookmarkStart w:id="508" w:name="Tc_FoxgbZejpE6dB-RxtmoHAw_5_0"/>
      <w:bookmarkStart w:id="509" w:name="Tc_4XZfBDNl-kyCw3LI1TUFkw_4_5"/>
      <w:bookmarkStart w:id="510" w:name="Tc_3TJAbhUrMESrCUZDZvhbCw_4_2"/>
      <w:bookmarkStart w:id="511" w:name="Tc_ttaa0Y8TnE6TCUtMkHIy-A_4_0"/>
      <w:bookmarkStart w:id="512" w:name="Tc_b1CTRbVtFkiPzUPgKWfQ7g_3_0"/>
      <w:bookmarkStart w:id="513" w:name="Tc_OU_FYWJTdEKHfhKTtSRS5Q_2_5"/>
      <w:bookmarkStart w:id="514" w:name="Tc_zlZYE6fAZEiV3IVj64w5qg_2_2"/>
      <w:bookmarkStart w:id="515" w:name="Tc_Qj7c_S-_7EilJ_w0CPO1dA_1_2"/>
      <w:bookmarkStart w:id="516" w:name="_f2c8fd31_3a6e_4e7e_90b2_808f25592b9e"/>
      <w:bookmarkStart w:id="517" w:name="Tc_JP4-OZIJdU-1LKTFzpHz1A_27_5"/>
      <w:bookmarkStart w:id="518" w:name="Tc_3hmkNZe9skOCFxvR0TlU9A_27_2"/>
      <w:bookmarkStart w:id="519" w:name="Tc_lnMGzZs7fE2hiDomaKckNA_27_0"/>
      <w:bookmarkStart w:id="520" w:name="Tc_BqbPy9baLE-fUsxr64zJ2Q_26_0"/>
      <w:bookmarkStart w:id="521" w:name="Tc_mFe8fq6pzUS8sXulsPzXmA_25_0"/>
      <w:bookmarkStart w:id="522" w:name="Tc_covO30iLOkqw_93zQTpybw_23_6"/>
      <w:bookmarkStart w:id="523" w:name="Tc_bW66ouRwrkm3bVdmw3PQUQ_23_0"/>
      <w:bookmarkStart w:id="524" w:name="Tc_GSnCCwwNh0mreUiiBatysQ_21_5"/>
      <w:bookmarkStart w:id="525" w:name="Tc_t-HTm0hImUCigBEqsZI38g_21_2"/>
      <w:bookmarkStart w:id="526" w:name="Tc_BEkBGxSPm0aUEQfvB0xWlQ_21_0"/>
      <w:bookmarkStart w:id="527" w:name="Tc_Bejn5dbhRkan5RHxAifJpg_20_0"/>
      <w:bookmarkStart w:id="528" w:name="Tc_GvstmcPekk-iqyg5tGzAUg_19_5"/>
      <w:bookmarkStart w:id="529" w:name="Tc_2CcHQK-ebUysr2-0s5gVUw_19_2"/>
      <w:bookmarkStart w:id="530" w:name="Tc_8c5gMJZNk0amAZZcVmg2_Q_19_0"/>
      <w:bookmarkStart w:id="531" w:name="Tc_Y1LtMJ1SXUSXFSPMGv2nzQ_18_0"/>
      <w:bookmarkStart w:id="532" w:name="Tc_j9FG8qOrZkiae_PsC91b0A_16_5"/>
      <w:bookmarkStart w:id="533" w:name="Tc_S61vzDzBy0OzlznU1MHp3g_16_2"/>
      <w:bookmarkStart w:id="534" w:name="Tc_qbpoFfEQQUyNiNZxj1Uh0w_16_0"/>
      <w:bookmarkStart w:id="535" w:name="Tc_4DH9EclRuEOoklAGuLMLNQ_15_0"/>
      <w:bookmarkStart w:id="536" w:name="Tc_bV0OjdEV90yuN6ZlwBnmaA_14_6"/>
      <w:bookmarkStart w:id="537" w:name="Tc_0gVFU2m_v0GE5X7fePNEWw_14_5"/>
      <w:bookmarkStart w:id="538" w:name="Tc_Vh3Zy26rE0Gmk8dJEL7gLA_14_2"/>
      <w:bookmarkStart w:id="539" w:name="Tc_C0NRd9AptkORlXj3EE6Rcw_14_0"/>
      <w:bookmarkStart w:id="540" w:name="Tc_dwsHRtyHc0-5lQM2p7tysQ_13_0"/>
      <w:bookmarkStart w:id="541" w:name="Tc_Qqp6Tn_qo0mCCbBjB5i33A_11_5"/>
      <w:bookmarkStart w:id="542" w:name="Tc_VZ9J-wHgTUamkWsVxe-cCw_11_2"/>
      <w:bookmarkStart w:id="543" w:name="Tc_JQgPrnobkkK0tb4WnIW9Bw_11_0"/>
      <w:bookmarkStart w:id="544" w:name="Tc_PNtrdDzNNkGp_CdA1zJAYw_10_0"/>
      <w:bookmarkStart w:id="545" w:name="Tc_d7_tMhDevUy0AV3A-ynI0w_9_0"/>
      <w:bookmarkStart w:id="546" w:name="Tc_O3WV80FbBUmDcdVdMw1vOA_8_0"/>
      <w:bookmarkStart w:id="547" w:name="Tc__k3XuoG740O29tT2hcAY-A_7_0"/>
      <w:bookmarkStart w:id="548" w:name="Tc_efLwc2RVUEyvQfFO2u8xEQ_6_0"/>
      <w:bookmarkStart w:id="549" w:name="Tc_FoxgbZejpE6dB-RxtmoHAw_5_0"/>
      <w:bookmarkStart w:id="550" w:name="Tc_4XZfBDNl-kyCw3LI1TUFkw_4_5"/>
      <w:bookmarkStart w:id="551" w:name="Tc_3TJAbhUrMESrCUZDZvhbCw_4_2"/>
      <w:bookmarkStart w:id="552" w:name="Tc_ttaa0Y8TnE6TCUtMkHIy-A_4_0"/>
      <w:bookmarkStart w:id="553" w:name="Tc_b1CTRbVtFkiPzUPgKWfQ7g_3_0"/>
      <w:bookmarkStart w:id="554" w:name="Tc_OU_FYWJTdEKHfhKTtSRS5Q_2_5"/>
      <w:bookmarkStart w:id="555" w:name="Tc_zlZYE6fAZEiV3IVj64w5qg_2_2"/>
      <w:bookmarkStart w:id="556" w:name="Tc_Qj7c_S-_7EilJ_w0CPO1dA_1_2"/>
      <w:bookmarkStart w:id="557" w:name="_f2c8fd31_3a6e_4e7e_90b2_808f25592b9e"/>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tbl>
      <w:tblPr>
        <w:tblW w:w="8797" w:type="dxa"/>
        <w:jc w:val="left"/>
        <w:tblInd w:w="0" w:type="dxa"/>
        <w:tblLayout w:type="fixed"/>
        <w:tblCellMar>
          <w:top w:w="0" w:type="dxa"/>
          <w:left w:w="0" w:type="dxa"/>
          <w:bottom w:w="0" w:type="dxa"/>
          <w:right w:w="0" w:type="dxa"/>
        </w:tblCellMar>
      </w:tblPr>
      <w:tblGrid>
        <w:gridCol w:w="5431"/>
        <w:gridCol w:w="346"/>
        <w:gridCol w:w="211"/>
        <w:gridCol w:w="1156"/>
        <w:gridCol w:w="346"/>
        <w:gridCol w:w="211"/>
        <w:gridCol w:w="1096"/>
      </w:tblGrid>
      <w:tr>
        <w:trPr/>
        <w:tc>
          <w:tcPr>
            <w:tcW w:w="5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448685" cy="175260"/>
                      <wp:effectExtent l="0" t="0" r="0" b="0"/>
                      <wp:wrapNone/>
                      <wp:docPr id="58" name="Frame58"/>
                      <a:graphic xmlns:a="http://schemas.openxmlformats.org/drawingml/2006/main">
                        <a:graphicData uri="http://schemas.microsoft.com/office/word/2010/wordprocessingShape">
                          <wps:wsp>
                            <wps:cNvSpPr txBox="1"/>
                            <wps:spPr>
                              <a:xfrm>
                                <a:off x="0" y="0"/>
                                <a:ext cx="3448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734060" cy="175260"/>
                      <wp:effectExtent l="0" t="0" r="0" b="0"/>
                      <wp:wrapNone/>
                      <wp:docPr id="61" name="Frame61"/>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95960" cy="175260"/>
                      <wp:effectExtent l="0" t="0" r="0" b="0"/>
                      <wp:wrapNone/>
                      <wp:docPr id="64" name="Frame64"/>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4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left"/>
              <w:rPr/>
            </w:pPr>
            <w:r>
              <w:rPr/>
              <w:t>​</w:t>
            </w:r>
          </w:p>
        </w:tc>
      </w:tr>
      <w:tr>
        <w:trPr/>
        <w:tc>
          <w:tcPr>
            <w:tcW w:w="54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(10,368,777)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(7,508,117)</w:t>
            </w:r>
          </w:p>
        </w:tc>
      </w:tr>
      <w:tr>
        <w:trPr/>
        <w:tc>
          <w:tcPr>
            <w:tcW w:w="54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Stock based compensation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977,476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681,843</w:t>
            </w:r>
          </w:p>
        </w:tc>
      </w:tr>
      <w:tr>
        <w:trPr/>
        <w:tc>
          <w:tcPr>
            <w:tcW w:w="54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r>
      <w:tr>
        <w:trPr/>
        <w:tc>
          <w:tcPr>
            <w:tcW w:w="54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Realized and unrealized gain and accrued interest on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(164,018)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(140,996)</w:t>
            </w:r>
          </w:p>
        </w:tc>
      </w:tr>
      <w:tr>
        <w:trPr/>
        <w:tc>
          <w:tcPr>
            <w:tcW w:w="54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assets and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w:t>
            </w:r>
          </w:p>
        </w:tc>
      </w:tr>
      <w:tr>
        <w:trPr/>
        <w:tc>
          <w:tcPr>
            <w:tcW w:w="54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accounts payable and 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1,066,228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156,567</w:t>
            </w:r>
          </w:p>
        </w:tc>
      </w:tr>
      <w:tr>
        <w:trPr/>
        <w:tc>
          <w:tcPr>
            <w:tcW w:w="54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 prepaid expenses and 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425,828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480,193</w:t>
            </w:r>
          </w:p>
        </w:tc>
      </w:tr>
      <w:tr>
        <w:trPr/>
        <w:tc>
          <w:tcPr>
            <w:tcW w:w="54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(8,013,263)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(6,280,510)</w:t>
            </w:r>
          </w:p>
        </w:tc>
      </w:tr>
      <w:tr>
        <w:trPr/>
        <w:tc>
          <w:tcPr>
            <w:tcW w:w="5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r>
      <w:tr>
        <w:trPr/>
        <w:tc>
          <w:tcPr>
            <w:tcW w:w="54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provided by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  ​</w:t>
            </w:r>
          </w:p>
        </w:tc>
      </w:tr>
      <w:tr>
        <w:trPr/>
        <w:tc>
          <w:tcPr>
            <w:tcW w:w="54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(1,962,892)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pPr>
            <w:r>
              <w:rPr/>
              <w:t>—</w:t>
            </w:r>
          </w:p>
        </w:tc>
      </w:tr>
      <w:tr>
        <w:trPr/>
        <w:tc>
          <w:tcPr>
            <w:tcW w:w="54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redemption of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10,099,599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4,452,701</w:t>
            </w:r>
          </w:p>
        </w:tc>
      </w:tr>
      <w:tr>
        <w:trPr/>
        <w:tc>
          <w:tcPr>
            <w:tcW w:w="54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8,136,707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4,452,701</w:t>
            </w:r>
          </w:p>
        </w:tc>
      </w:tr>
      <w:tr>
        <w:trPr/>
        <w:tc>
          <w:tcPr>
            <w:tcW w:w="54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left"/>
              <w:rPr/>
            </w:pPr>
            <w:r>
              <w:rPr/>
              <w:t>​</w:t>
            </w:r>
          </w:p>
        </w:tc>
      </w:tr>
      <w:tr>
        <w:trPr/>
        <w:tc>
          <w:tcPr>
            <w:tcW w:w="54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provided by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  ​</w:t>
            </w:r>
          </w:p>
        </w:tc>
      </w:tr>
      <w:tr>
        <w:trPr/>
        <w:tc>
          <w:tcPr>
            <w:tcW w:w="54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amounts due to officers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w:t>
            </w:r>
          </w:p>
        </w:tc>
      </w:tr>
      <w:tr>
        <w:trPr/>
        <w:tc>
          <w:tcPr>
            <w:tcW w:w="54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warrants,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204,035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172,958</w:t>
            </w:r>
          </w:p>
        </w:tc>
      </w:tr>
      <w:tr>
        <w:trPr/>
        <w:tc>
          <w:tcPr>
            <w:tcW w:w="54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(127,042)</w:t>
            </w:r>
          </w:p>
        </w:tc>
      </w:tr>
      <w:tr>
        <w:trPr/>
        <w:tc>
          <w:tcPr>
            <w:tcW w:w="5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r>
      <w:tr>
        <w:trPr/>
        <w:tc>
          <w:tcPr>
            <w:tcW w:w="54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exchange rate on changes on 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5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r>
      <w:tr>
        <w:trPr/>
        <w:tc>
          <w:tcPr>
            <w:tcW w:w="54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(1,954,851)</w:t>
            </w:r>
          </w:p>
        </w:tc>
      </w:tr>
      <w:tr>
        <w:trPr/>
        <w:tc>
          <w:tcPr>
            <w:tcW w:w="54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 beginning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3,818,096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3,623,343</w:t>
            </w:r>
          </w:p>
        </w:tc>
      </w:tr>
      <w:tr>
        <w:trPr/>
        <w:tc>
          <w:tcPr>
            <w:tcW w:w="54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3,845,606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1,668,492</w:t>
            </w:r>
          </w:p>
        </w:tc>
      </w:tr>
      <w:tr>
        <w:trPr/>
        <w:tc>
          <w:tcPr>
            <w:tcW w:w="5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The accompanying footnotes are an integral part of these unaudited condensed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58" w:name="NOTE1ORGANIZATIONANDBUSINESS_558400"/>
      <w:bookmarkEnd w:id="558"/>
      <w:r>
        <w:rPr>
          <w:rFonts w:ascii="Times New Roman;Times;serif" w:hAnsi="Times New Roman;Times;serif"/>
          <w:b/>
          <w:sz w:val="20"/>
        </w:rPr>
        <w:t>NOTE 1 – ORGANIZATION AND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Quoin Pharmaceuticals Ltd. (“Quoin Ltd.,” or the “Company”), formerly known as Cellect Biotechnology Ltd. (“Cellect”), is the holding company for Quoin Pharmaceuticals, Inc., a Delaware corporation (“Quoin Inc.”). Quoin Inc. was incorporated in Delaware on March 5, 2018. Quoin Inc. is the holding company for Quoin Therapeutics Ireland Limited (“Quoin Ireland”), an Irish private company limited by shares and Quoin Pharmaceuticals Japan KK (“Quoin Japan”), a Japanese joint-stock company. Quoin Ireland was incorporated in Ireland on November 26, 2024. Quoin Japan was incorporated in Japan on June 5, 2026. On October 28, 2021, Cellect completed the business combination with Quoin Inc., with Quoin Inc. surviving as a wholly-owned subsidiary of Cellect (the “Merger”). Immediately after completion of the Merger, Cellect changed its name to “Quoin Pharmaceuticals Ltd.”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is a late-stage clinical specialty pharmaceutical company focused on the development and commercialization of therapeutic products that treat rare and orphan diseases for which there are currently either no approved or very limited treatments or cures. The Company’s lead product, QRX003, is under clinical development as a potential treatment for Netherton Syndrome (“NS”), a rare hereditary genetic disease. QRX003 is entering pivotal registrational clinical testing under an open Investigational New Drug (“IND”) application with the Food and Drug Administration (“FDA”). The Company has opened six clinical sites in the United States (“US”) along with international sites that are being opened in the UK, Spain, France and the Netherlands. QRX003 is currently being tested in eight pediatric NS patients in a Compassionate Use program in Ireland, Austria, the Netherlands and New Zealand and an additional 3 pediatric patients are expected to be enrolled this year. QRX003 is also being developed as a potential treatment for Peeling Skin Syndrome. The Company submitted an IND application for QRX003 in Peeling Skin Syndrome in the second quarter of 2026, which was cleared by the FDA on July 9, 2026, and plans to initiate a Phase 2/3 study in the second half of 2026. Quoin has also entered into 9 commercial partnerships for QRX003 spanning 61 countries outside of its core commercial territories of the US, Western Europe and Japan. These partnership countries include Canada, Australia/New Zealand, the Middle East, China, Taiwan, Hong Kong, Singapore, Israel, Central and Eastern Europe, Turkey as well as several countries in Latin America. To date, no products have been commercialized and no revenue has been generated by the Company. The Company has entered into a Research Agreement with the Queensland University of Technology (“QUT”) in Australia, under which the Company has obtained an option for a global license to QRX008 for the potential treatment of scleroderma, as well as a Research Agreement with The School of Pharmacy at University College Cork (“UCC”) for the development of novel topical formulations of rapamycin (sirolimus), QRX009, as potential treatments for a number of rare and orphan diseases for which there are either limited or no approved therapies or cures, including Pachyonychia Congenita, Gorlin Syndrome, Tuberous Sclerosis Complex, microcystic lymphatic malformations, venous malformations and angiofibromas, as well as other indications that the Company is assessing. The Company is planning to initiate investigator-led clinical studies in Pachyonychia Congenita, Gorlin Syndrome and Tuberous Sclerosis Complex.</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 LIQUIDITY RISKS AND OTHER UNCERTAINTIES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unaudited condensed consolidated financial statements have been prepared in conformity with generally accepted accounting principles in the United States (“U.S. GAAP”) assuming the Company will continue as a going concern. The Company has incurred net losses every year since inception and has an accumulated deficit of approximately $81.3 million at June 30, 2026. The Company has a limited operating history and has historically funded its operations through its founders’ funding expenditures and debt and equity financings. At June 30, 2026, the Company had cash and cash equivalents balances totaling $3.8 million and investments of $7.0 million. These factors raise substantial doubt about the Company’s ability to continue as a 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ability to continue as a going concern is dependent upon the Company’s ability to raise additional funding. There can be no assurance that such funding will be available in sufficient amounts or on terms acceptable to the Company. The accompanying unaudited condensed consolidated financial statements do not include any adjustments relating to the recoverability of the recorded assets or the classification of liabilities that may be necessary should the Company be unable to continue as a going concern.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Based upon the Company’s current business plans and cash, cash equivalents, and investments on hand, management has concluded that there is substantial doubt about the Company’s ability to continue as a going concern for a period of at least one year from the date of the filing of this Quarterly Report on Form 10-Q. The Company does not expect to generate revenue from product sales unless and until it successfully completes development and obtains marketing approval for one or more of its product candidates, which the Company expects will take a number of years and is subject to significant uncertainty. The Company will need to obtain further funding through public or private offerings of its capital stock, debt financing, pursuant to the exercise of warrants issued to investors in the Company’s prior public and private offerings, collaboration, strategic and/or licensing arrangements or other sources in order to complete the research and development of the Company’s product candidates and to fund the Company’s other operating requirements until it achieves commercial profitability, if ever. However, the Company may be unable to raise additional funds or enter into such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arrangements when needed on favorable terms or at all. If the Company is unable to obtain additional funding when it becomes necessary, the development of its product candidates will be impacted and the Company would likely be forced to delay, reduce, or terminate some or all of its development programs.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Other risks and uncertainties: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subject to risks common to late-stage clinical specialty pharmaceutical companies including, but not limited to, new technological innovations, dependence on key personnel, protection of proprietary technology, compliance with government regulations, product liability, pre-clinical and clinical trial outcome risks, regulatory approval risks, uncertainty of market acceptance and additional financing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products require approval or clearance from the FDA prior to commencing commercial sales in the United States. There can be no assurance that the Company’s products will receive all of the required approvals or clearances. Approvals or clearances are also required in foreign jurisdictions in which the Company may license or sell its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can be no assurance that the Company’s products, if approved, will be accepted in the marketplace, nor can there be any assurance that any future products can be developed or manufactured at an acceptable cost and with appropriate performance characteristics, or that such products will be successfully marketed.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is also dependent on several third party suppliers, in some cases a single source supplier including the contract research organization managing both of the Company’s current clinical studies, the supplier of the active pharmaceutical ingredient (API), as well as the contract manufacturer of the drug product for clinical development.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 SUMMARY OF SIGNIFICANT ACCOUNTING POLICIES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accordance with U.S. GAAP for interim financial information. Accordingly, they do not include all of the information and footnotes required by U.S. GAAP for complete financial statements. In the opinion of management, such statements include all adjustments (consisting only of normal recurring items) which are considered necessary for a fair presentation of the unaudited condensed consolidated financial statements of the Company as of June 30, 2026 and for the three and six months then ended. The results of operations for the three and six months ended June 30, 2026 are not necessarily indicative of the operating results for the year or any other period. These unaudited condensed consolidated financial statements should be read in conjunction with the audited financial statements and related disclosures as of December 31, 2025 and for the year then ended which are included in the Company’s Annual Report on Form 10-K, filed with the SEC on March 26, 2026.</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Principles of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include the accounts of Quoin Pharmaceuticals Ltd. and its wholly owned subsidiaries. All intercompany transactions and balances are eliminated in consolidation. The functional currencies of Quoin Ireland and Quoin Japan, wholly-owned subsidiaries of the Company, are remeasured into U.S. dollars using the exchange rate in effect at the consolidated balance sheet date. The Company translates the assets and liabilities of its Ireland and Japan subsidiaries into the United States dollar at the exchange rate in effect on the balance sheet date and those unrealized gains and losses are reported in other comprehensive income. Expenses are remeasured using the average exchange rate in effect during the period. Gains and losses arising from remeasurement of the wholly owned subsidiary’s financial statements are included in the determination of net loss.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0"/>
        <w:ind w:left="0" w:right="0" w:hanging="0"/>
        <w:jc w:val="both"/>
        <w:rPr>
          <w:rFonts w:ascii="Times New Roman;Times;serif" w:hAnsi="Times New Roman;Times;serif"/>
          <w:b w:val="false"/>
          <w:sz w:val="20"/>
        </w:rPr>
      </w:pPr>
      <w:r>
        <w:rPr>
          <w:rFonts w:ascii="Times New Roman;Times;serif" w:hAnsi="Times New Roman;Times;serif"/>
          <w:b w:val="false"/>
          <w:sz w:val="20"/>
        </w:rPr>
        <w:t xml:space="preserve">The preparation of financial statements in conformity with U.S. GAAP requires management to make estimates and assumptions that affect the reported amounts in the financial statements and accompanying notes. Actual results could materially differ from those estimates. Management considers many factors in developing the estimates and assumptions that are used in the preparation of these financial statements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settlement of debt or other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val="false"/>
          <w:sz w:val="20"/>
        </w:rPr>
      </w:pPr>
      <w:bookmarkStart w:id="559" w:name="Tc_jVmS_TijRUqcRli9W5Wlsg_6_11"/>
      <w:bookmarkStart w:id="560" w:name="Tc_JWd1RJQaxkWMmbTWV6effA_6_8"/>
      <w:bookmarkStart w:id="561" w:name="Tc_OCOnxhoPkEiVViRbNIabqg_6_5"/>
      <w:bookmarkStart w:id="562" w:name="Tc_zgeZM-3mo0mFiwnU8W720g_6_2"/>
      <w:bookmarkStart w:id="563" w:name="Tc_Xe9U8uIqwUiYQqwuRNxsCQ_6_0"/>
      <w:bookmarkStart w:id="564" w:name="Tc_pSq4OHH7jUuR7bISrwEkAw_5_0"/>
      <w:bookmarkStart w:id="565" w:name="Tc_9kFgLBlNP02_i7PPpHYqHA_4_0"/>
      <w:bookmarkStart w:id="566" w:name="Tc_Ko17_4iixUq4jEt2w3rFSg_3_11"/>
      <w:bookmarkStart w:id="567" w:name="Tc_BMSUInU1Pkeb_e6r8Xtbkw_3_8"/>
      <w:bookmarkStart w:id="568" w:name="Tc_2Z8eRKpErUaNNlbGE4jlXg_3_5"/>
      <w:bookmarkStart w:id="569" w:name="Tc_JNIx3TypGkm6BoTqStrEfQ_3_2"/>
      <w:bookmarkStart w:id="570" w:name="Tc__fdkXlEg6ESYNMsYRARwqA_3_0"/>
      <w:bookmarkStart w:id="571" w:name="Tc_VEVUwPDaME6VtwMp1QbwNw_2_11"/>
      <w:bookmarkStart w:id="572" w:name="Tc_l0yO8Ixwpk6Z2EYHRSRuXA_2_8"/>
      <w:bookmarkStart w:id="573" w:name="Tc_VnnWp61QmUSfYT1oagmtXw_2_5"/>
      <w:bookmarkStart w:id="574" w:name="Tc_swqAxSEn80-uye9fb4owbQ_2_2"/>
      <w:bookmarkStart w:id="575" w:name="Tc_0Lz0OPZXdkGntXekxAPL5Q_1_8"/>
      <w:bookmarkStart w:id="576" w:name="Tc_msEROruQZUiCO1VBjP-zYw_1_2"/>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r>
        <w:rPr>
          <w:rFonts w:ascii="Times New Roman;Times;serif" w:hAnsi="Times New Roman;Times;serif"/>
          <w:b w:val="false"/>
          <w:sz w:val="20"/>
        </w:rPr>
        <w:t>obligations, stock-based compensation, research and development expense recognition, intangible asset estimated useful lives and impairment assessments, allowances of deferred tax assets, and cash flow assumptions regarding going concern considerations.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Operating Segment: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val="false"/>
          <w:sz w:val="20"/>
        </w:rPr>
        <w:t>The Company operates in one</w:t>
      </w:r>
      <w:r>
        <w:rPr>
          <w:rFonts w:ascii="Times New Roman;Times;serif" w:hAnsi="Times New Roman;Times;serif"/>
          <w:b/>
          <w:sz w:val="20"/>
        </w:rPr>
        <w:t xml:space="preserve"> </w:t>
      </w:r>
      <w:r>
        <w:rPr>
          <w:rFonts w:ascii="Times New Roman;Times;serif" w:hAnsi="Times New Roman;Times;serif"/>
          <w:b w:val="false"/>
          <w:sz w:val="20"/>
        </w:rPr>
        <w:t>business segment, which includes the business of research and development activities related to the development of therapeutic products that treat rare and orphan diseases for which there are currently very limited or no approved treatments or cures. The determination of a single business segment is consistent with the consolidated financial information regularly provided to the Company’s chief operating decision maker (“CODM”). The Company’s CODM is its Chief Executive Officer, who reviews and evaluates consolidated net loss for purposes of assessing performance, making operating decisions, allocating resources, and planning and forecasting for future periods.</w:t>
      </w:r>
    </w:p>
    <w:p>
      <w:pPr>
        <w:pStyle w:val="TextBody"/>
        <w:bidi w:val="0"/>
        <w:spacing w:before="0" w:after="0"/>
        <w:ind w:left="0" w:right="0" w:hanging="0"/>
        <w:jc w:val="both"/>
        <w:rPr>
          <w:rFonts w:ascii="Times New Roman;Times;serif" w:hAnsi="Times New Roman;Times;serif"/>
          <w:b w:val="false"/>
          <w:sz w:val="20"/>
        </w:rPr>
      </w:pPr>
      <w:r>
        <w:rPr>
          <w:rFonts w:ascii="Times New Roman;Times;serif" w:hAnsi="Times New Roman;Times;serif"/>
          <w:b w:val="false"/>
          <w:sz w:val="20"/>
        </w:rPr>
        <w:t>In addition to the significant expense categories included within consolidated net loss presented on the Company’s unaudited condensed consolidated statements of operations, see below for disaggregated amounts that comprise research and development expenses:</w:t>
      </w:r>
    </w:p>
    <w:p>
      <w:pPr>
        <w:pStyle w:val="TextBody"/>
        <w:bidi w:val="0"/>
        <w:spacing w:before="0" w:after="0"/>
        <w:ind w:left="0" w:right="0" w:hanging="0"/>
        <w:jc w:val="left"/>
        <w:rPr/>
      </w:pPr>
      <w:r>
        <w:rPr/>
        <w:t>​</w:t>
      </w:r>
    </w:p>
    <w:tbl>
      <w:tblPr>
        <w:tblW w:w="10108" w:type="dxa"/>
        <w:jc w:val="left"/>
        <w:tblInd w:w="0" w:type="dxa"/>
        <w:tblLayout w:type="fixed"/>
        <w:tblCellMar>
          <w:top w:w="0" w:type="dxa"/>
          <w:left w:w="0" w:type="dxa"/>
          <w:bottom w:w="0" w:type="dxa"/>
          <w:right w:w="0" w:type="dxa"/>
        </w:tblCellMar>
      </w:tblPr>
      <w:tblGrid>
        <w:gridCol w:w="4051"/>
        <w:gridCol w:w="346"/>
        <w:gridCol w:w="211"/>
        <w:gridCol w:w="931"/>
        <w:gridCol w:w="346"/>
        <w:gridCol w:w="211"/>
        <w:gridCol w:w="931"/>
        <w:gridCol w:w="346"/>
        <w:gridCol w:w="211"/>
        <w:gridCol w:w="931"/>
        <w:gridCol w:w="346"/>
        <w:gridCol w:w="211"/>
        <w:gridCol w:w="1036"/>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572385" cy="175260"/>
                      <wp:effectExtent l="0" t="0" r="0" b="0"/>
                      <wp:wrapNone/>
                      <wp:docPr id="65" name="Frame65"/>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91185" cy="175260"/>
                      <wp:effectExtent l="0" t="0" r="0" b="0"/>
                      <wp:wrapNone/>
                      <wp:docPr id="68" name="Frame6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91185" cy="175260"/>
                      <wp:effectExtent l="0" t="0" r="0" b="0"/>
                      <wp:wrapNone/>
                      <wp:docPr id="71" name="Frame7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91185" cy="175260"/>
                      <wp:effectExtent l="0" t="0" r="0" b="0"/>
                      <wp:wrapNone/>
                      <wp:docPr id="74" name="Frame7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57860" cy="175260"/>
                      <wp:effectExtent l="0" t="0" r="0" b="0"/>
                      <wp:wrapNone/>
                      <wp:docPr id="77" name="Frame7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w:t>
            </w:r>
          </w:p>
        </w:tc>
        <w:tc>
          <w:tcPr>
            <w:tcW w:w="27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External clinical development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2,475,836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1,637,683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4,959,301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3,334,914</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Personnel related and stock-based compensation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1,027,495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258,072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1,749,752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687,490</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research and development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123,837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154,830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351,877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402,320</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3,627,168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2,050,585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7,060,930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4,424,724</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Earnings (loss)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reports loss per share in accordance with ASC 260-10, </w:t>
      </w:r>
      <w:r>
        <w:rPr>
          <w:rFonts w:ascii="Times New Roman;Times;serif" w:hAnsi="Times New Roman;Times;serif"/>
          <w:i/>
          <w:sz w:val="20"/>
        </w:rPr>
        <w:t>Earnings Per Share</w:t>
      </w:r>
      <w:r>
        <w:rPr>
          <w:rFonts w:ascii="Times New Roman;Times;serif" w:hAnsi="Times New Roman;Times;serif"/>
          <w:sz w:val="20"/>
        </w:rPr>
        <w:t>, which provides for calculation of “basic” and “diluted” earnings per share. Basic earnings per share includes no dilution and is computed by dividing net income or loss available to shareholders by the weighted average shares outstanding for the period. Diluted earnings per share reflect the potential dilution of securities that could share in the earnings of an entity. The calculation of diluted net earnings (loss) per share gives effect to ordinary shares equivalents; however, other than unexercised prefunded warrants as described below, potential shares are excluded if their effect is anti-dilutive.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 the three and six months ended June 30, 2026 and 2025, </w:t>
      </w:r>
      <w:r>
        <w:rPr>
          <w:rFonts w:ascii="Times New Roman;Times;serif" w:hAnsi="Times New Roman;Times;serif"/>
          <w:color w:val="212529"/>
          <w:sz w:val="20"/>
          <w:shd w:fill="FFFFFF" w:val="clear"/>
        </w:rPr>
        <w:t>the number of shares excluded from the diluted net earnings (loss) per share included</w:t>
      </w:r>
      <w:r>
        <w:rPr>
          <w:rFonts w:ascii="Times New Roman;Times;serif" w:hAnsi="Times New Roman;Times;serif"/>
          <w:sz w:val="20"/>
        </w:rPr>
        <w:t xml:space="preserve"> outstanding warrants to purchase 8,884,325 ADSs and outstanding stock options to purchase 1,025,618 ADSs, and outstanding warrants to purchase 1,108,159 ADSs and outstanding stock options to purchase 180,055 ADSs, respectively, as their inclusion in the denominator would be anti-dilutive. For the three and six months ended June 30, 2026 and 2025, basic and diluted net earnings (loss) per share included 824,498 ADS and 256,809 ADS respectively issuable with respect to unexercised prefunded warrants.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4 – ACCRUED INTEREST AND FINANCING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October 2, 2020, Quoin Inc. issued promissory notes (the “2020 Notes”) to certain investors (“2020 Noteholders”). The 2020 Notes were mandatorily convertible into 12 ADSs, subject to adjustment and were converted in 2021. The ADSs issued to the 2020 Noteholders did not include accrued interest. Two of the five 2020 Noteholders received their amount due during the year ended December 31, 2022 and the Company’s estimate of the liability to the remaining three 2020 Noteholders was estimated to be $1,146,000 as of June 30, 2026 and December 31, 2025. Two of the remaining three 2020 Noteholders are related parties to the Company, the aggregate estimated liability to these parties was $339,000 as of June 30, 2026 and December 31, 2025.</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was no interest expense recognized in both the three and six month periods ended June 30, 2026 and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77" w:name="Tc_dukjyui34Eug8x89ECxvjQ_3_11"/>
      <w:bookmarkStart w:id="578" w:name="Tc_nXO_WdYmNEartuKXIVsEpQ_3_9"/>
      <w:bookmarkStart w:id="579" w:name="Tc_1HoNt6AiZ0CDOkAz3g1DDw_3_8"/>
      <w:bookmarkStart w:id="580" w:name="Tc_xWkCIza1Ekef7xJxXDOVkA_3_6"/>
      <w:bookmarkStart w:id="581" w:name="Tc_D0tb2qJ7E0igOilIDohIjg_3_5"/>
      <w:bookmarkStart w:id="582" w:name="Tc_0JDxlUMX_U29uBuOxR2rZA_3_2"/>
      <w:bookmarkStart w:id="583" w:name="Tc_DkoRe4QgQEGsrd7qkM1Nlw_3_0"/>
      <w:bookmarkStart w:id="584" w:name="Tc_s2Q_gW7aKUeIB1oexQIXZA_2_11"/>
      <w:bookmarkStart w:id="585" w:name="Tc_wECWRfgEuEKOSOiy2Z2RVw_2_9"/>
      <w:bookmarkStart w:id="586" w:name="Tc_QEAtq5X5z0akV-JjY_mqbw_2_8"/>
      <w:bookmarkStart w:id="587" w:name="Tc_5L1jEOHKOkSN0Qb3JJiw6g_2_6"/>
      <w:bookmarkStart w:id="588" w:name="Tc_qp8yJOO7-E-Q_w-PKAxf-Q_2_5"/>
      <w:bookmarkStart w:id="589" w:name="Tc_xBads7veKUyeV7gaqJrJsQ_2_2"/>
      <w:bookmarkStart w:id="590" w:name="Tc_lKeHgbDl1E60cyqIqfFH8A_2_0"/>
      <w:bookmarkStart w:id="591" w:name="Tc_YEdkTH9kp0SuhFgJbZdqvQ_1_11"/>
      <w:bookmarkStart w:id="592" w:name="Tc_bK7DFqbFXkSLXQPY8a2k2w_1_8"/>
      <w:bookmarkStart w:id="593" w:name="Tc_CwHgkIH0KEqRudUIii1ihg_1_5"/>
      <w:bookmarkStart w:id="594" w:name="Tc_WSNOKN0Q4keG5YrBcmLFCA_1_2"/>
      <w:bookmarkStart w:id="595" w:name="Tc_J3kLhFO9xkiWxqC3TTzZuw_1_0"/>
      <w:bookmarkStart w:id="596" w:name="_0f22bfcb_cde4_4d99_9da0_574edaaf7732"/>
      <w:bookmarkStart w:id="597" w:name="Tc_06tNepxs60io9AyIPzU7Hg_5_11"/>
      <w:bookmarkStart w:id="598" w:name="Tc_7xKGiGzDzEOQVngda-5pQQ_5_9"/>
      <w:bookmarkStart w:id="599" w:name="Tc_5tAtJkXE0kq0c1gVEH_Fhw_5_8"/>
      <w:bookmarkStart w:id="600" w:name="Tc_zNYxR8HyrUK0FQrlo91kdA_5_6"/>
      <w:bookmarkStart w:id="601" w:name="Tc_gNfdxv79l0yKucSzoozLRQ_5_5"/>
      <w:bookmarkStart w:id="602" w:name="Tc_ZmXmrZFVvk-bgROXw0IVjg_5_2"/>
      <w:bookmarkStart w:id="603" w:name="Tc_fzLtgZpmRk6Hm1JXwhhzRg_5_0"/>
      <w:bookmarkStart w:id="604" w:name="Tc_0QYb9PrbfkG_jk7wDPr2jQ_4_9"/>
      <w:bookmarkStart w:id="605" w:name="Tc_nbb23qElyUGBpuvStrAJmQ_4_6"/>
      <w:bookmarkStart w:id="606" w:name="Tc_B4NtzME_kkK4RovNiULA-A_4_0"/>
      <w:bookmarkStart w:id="607" w:name="Tc_BilYHYe7kUygLy0D8UmH-Q_3_9"/>
      <w:bookmarkStart w:id="608" w:name="Tc_j1y-VUntR0yL2vrqRHm6hQ_3_6"/>
      <w:bookmarkStart w:id="609" w:name="Tc_8QSmNX-XAEucMAW_VcwJdw_3_0"/>
      <w:bookmarkStart w:id="610" w:name="Tc_6VrJ5pYozE-fnCtjaGdBhA_2_11"/>
      <w:bookmarkStart w:id="611" w:name="Tc_g_7ySXKs7U-kpyQJX_lcJg_2_9"/>
      <w:bookmarkStart w:id="612" w:name="Tc_3ZIVHJCHPUSNz1ctYw2aIg_2_8"/>
      <w:bookmarkStart w:id="613" w:name="Tc_Tu5m-wbZCEG24a_Nxg9Jfw_2_6"/>
      <w:bookmarkStart w:id="614" w:name="Tc_abP4hRiiOki_Ez3iq67CMg_2_5"/>
      <w:bookmarkStart w:id="615" w:name="Tc_LHLhglo2PkmxvHYP__0ylA_2_2"/>
      <w:bookmarkStart w:id="616" w:name="Tc_xF4LZrgowEiVxjF9t9UhLg_2_0"/>
      <w:bookmarkStart w:id="617" w:name="Tc_Z38gc5th8keilyjeuM06ng_1_11"/>
      <w:bookmarkStart w:id="618" w:name="Tc_nmAJRRtdZk22N4XSgNFEww_1_8"/>
      <w:bookmarkStart w:id="619" w:name="Tc_SLAAXCtXW0-Arg1TebAedg_1_5"/>
      <w:bookmarkStart w:id="620" w:name="Tc_Ss12m8Xw5UG6YMcSBYSMzA_1_2"/>
      <w:bookmarkStart w:id="621" w:name="Tc_h9UjMpubVEyUyxBV71x2Zg_1_0"/>
      <w:bookmarkStart w:id="622" w:name="_ff58e172_3c6b_4277_b97a_a49b3b0c6375"/>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r>
        <w:rPr>
          <w:rFonts w:ascii="Times New Roman;Times;serif" w:hAnsi="Times New Roman;Times;serif"/>
          <w:b/>
          <w:sz w:val="20"/>
        </w:rPr>
        <w:t>NOTE 5 – FAIR VALUE OF 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applies fair value accounting for all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For certain instruments, including cash and cash equivalents, accounts payable, and accrued expenses, it was estimated that the carrying amount approximated fair value because of the short maturities of these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Fair value is estimated using various valuation models, which utilize certain inputs and assumptions that market participants would use in pricing the asset or liability. The inputs and assumptions used in valuation models are classified in the fair value hierarchy as follows: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Level 1: Quoted prices (unadjusted) in active markets that are accessible at the measurement date for assets or liabilities. The fair value hierarchy gives the highest priority to Level 1 inputs.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Level 2: Quoted market prices for similar instruments in an active market; quoted prices for identical or similar assets and liabilities in markets that are not active; and model-derived valuations inputs of which are observable and can be corroborated by market data.</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Level 3: Unobservable inputs and assumptions that are supported by little or no market activity and that are significant to the fair value of the asset and liability. The fair value hierarchy gives the lowest priority to Level 3 inputs.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determining the appropriate hierarchy levels, the Company analyzes the assets and liabilities that are subject to fair value disclosure. Financial assets and liabilities are classified in their entirety based on the lowest level of input that is significant to their fair value measurement.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the Company’s assets and liabilities that are measured at fair value on a recurring basis by fair value hierarchy at June 30, 2026 and December 31, 2025 and which are classified as trading securities:</w:t>
      </w:r>
    </w:p>
    <w:p>
      <w:pPr>
        <w:pStyle w:val="TextBody"/>
        <w:bidi w:val="0"/>
        <w:spacing w:before="0" w:after="0"/>
        <w:ind w:left="0" w:right="0" w:hanging="0"/>
        <w:jc w:val="left"/>
        <w:rPr/>
      </w:pPr>
      <w:r>
        <w:rPr/>
        <w:t>​</w:t>
      </w:r>
    </w:p>
    <w:tbl>
      <w:tblPr>
        <w:tblW w:w="8981" w:type="dxa"/>
        <w:jc w:val="left"/>
        <w:tblInd w:w="0" w:type="dxa"/>
        <w:tblLayout w:type="fixed"/>
        <w:tblCellMar>
          <w:top w:w="0" w:type="dxa"/>
          <w:left w:w="0" w:type="dxa"/>
          <w:bottom w:w="0" w:type="dxa"/>
          <w:right w:w="0" w:type="dxa"/>
        </w:tblCellMar>
      </w:tblPr>
      <w:tblGrid>
        <w:gridCol w:w="3766"/>
        <w:gridCol w:w="346"/>
        <w:gridCol w:w="211"/>
        <w:gridCol w:w="1051"/>
        <w:gridCol w:w="346"/>
        <w:gridCol w:w="239"/>
        <w:gridCol w:w="392"/>
        <w:gridCol w:w="346"/>
        <w:gridCol w:w="239"/>
        <w:gridCol w:w="392"/>
        <w:gridCol w:w="346"/>
        <w:gridCol w:w="211"/>
        <w:gridCol w:w="1096"/>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391410" cy="175260"/>
                      <wp:effectExtent l="0" t="0" r="0" b="0"/>
                      <wp:wrapNone/>
                      <wp:docPr id="78" name="Frame78"/>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80"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67385" cy="175260"/>
                      <wp:effectExtent l="0" t="0" r="0" b="0"/>
                      <wp:wrapNone/>
                      <wp:docPr id="81" name="Frame8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51765" cy="175260"/>
                      <wp:effectExtent l="0" t="0" r="0" b="0"/>
                      <wp:wrapNone/>
                      <wp:docPr id="83" name="Frame8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48920" cy="175260"/>
                      <wp:effectExtent l="0" t="0" r="0" b="0"/>
                      <wp:wrapNone/>
                      <wp:docPr id="84" name="Frame84"/>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51765" cy="175260"/>
                      <wp:effectExtent l="0" t="0" r="0" b="0"/>
                      <wp:wrapNone/>
                      <wp:docPr id="86" name="Frame8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48920" cy="175260"/>
                      <wp:effectExtent l="0" t="0" r="0" b="0"/>
                      <wp:wrapNone/>
                      <wp:docPr id="87" name="Frame87"/>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5960" cy="175260"/>
                      <wp:effectExtent l="0" t="0" r="0" b="0"/>
                      <wp:wrapNone/>
                      <wp:docPr id="90" name="Frame90"/>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left"/>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Bills and Notes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8,451,461</w:t>
            </w:r>
          </w:p>
        </w:tc>
        <w:tc>
          <w:tcPr>
            <w:tcW w:w="346" w:type="dxa"/>
            <w:tcBorders/>
            <w:shd w:fill="CCEEFF" w:val="clear"/>
            <w:vAlign w:val="center"/>
          </w:tcPr>
          <w:p>
            <w:pPr>
              <w:pStyle w:val="TableContents"/>
              <w:bidi w:val="0"/>
              <w:spacing w:before="0" w:after="0"/>
              <w:ind w:left="0" w:right="0" w:hanging="0"/>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8,451,461</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available-for-sale securites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8,451,461</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8,451,461</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amounts classified as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(1,496,985)</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(1,496,985)</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classified as short-term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6,954,476</w:t>
            </w:r>
          </w:p>
        </w:tc>
        <w:tc>
          <w:tcPr>
            <w:tcW w:w="3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6,954,476</w:t>
            </w:r>
          </w:p>
        </w:tc>
      </w:tr>
    </w:tbl>
    <w:p>
      <w:pPr>
        <w:pStyle w:val="TextBody"/>
        <w:bidi w:val="0"/>
        <w:spacing w:before="0" w:after="0"/>
        <w:ind w:left="0" w:right="0" w:hanging="0"/>
        <w:jc w:val="left"/>
        <w:rPr/>
      </w:pPr>
      <w:r>
        <w:rPr/>
        <w:t>​</w:t>
      </w:r>
    </w:p>
    <w:tbl>
      <w:tblPr>
        <w:tblW w:w="7646" w:type="dxa"/>
        <w:jc w:val="left"/>
        <w:tblInd w:w="0" w:type="dxa"/>
        <w:tblLayout w:type="fixed"/>
        <w:tblCellMar>
          <w:top w:w="0" w:type="dxa"/>
          <w:left w:w="0" w:type="dxa"/>
          <w:bottom w:w="0" w:type="dxa"/>
          <w:right w:w="0" w:type="dxa"/>
        </w:tblCellMar>
      </w:tblPr>
      <w:tblGrid>
        <w:gridCol w:w="2401"/>
        <w:gridCol w:w="346"/>
        <w:gridCol w:w="211"/>
        <w:gridCol w:w="1036"/>
        <w:gridCol w:w="346"/>
        <w:gridCol w:w="239"/>
        <w:gridCol w:w="392"/>
        <w:gridCol w:w="346"/>
        <w:gridCol w:w="239"/>
        <w:gridCol w:w="392"/>
        <w:gridCol w:w="346"/>
        <w:gridCol w:w="211"/>
        <w:gridCol w:w="1141"/>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524635" cy="175260"/>
                      <wp:effectExtent l="0" t="0" r="0" b="0"/>
                      <wp:wrapNone/>
                      <wp:docPr id="91" name="Frame91"/>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57860" cy="175260"/>
                      <wp:effectExtent l="0" t="0" r="0" b="0"/>
                      <wp:wrapNone/>
                      <wp:docPr id="94" name="Frame9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51765" cy="175260"/>
                      <wp:effectExtent l="0" t="0" r="0" b="0"/>
                      <wp:wrapNone/>
                      <wp:docPr id="96" name="Frame9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48920" cy="175260"/>
                      <wp:effectExtent l="0" t="0" r="0" b="0"/>
                      <wp:wrapNone/>
                      <wp:docPr id="97" name="Frame97"/>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51765" cy="175260"/>
                      <wp:effectExtent l="0" t="0" r="0" b="0"/>
                      <wp:wrapNone/>
                      <wp:docPr id="99" name="Frame9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48920" cy="175260"/>
                      <wp:effectExtent l="0" t="0" r="0" b="0"/>
                      <wp:wrapNone/>
                      <wp:docPr id="100" name="Frame100"/>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724535" cy="175260"/>
                      <wp:effectExtent l="0" t="0" r="0" b="0"/>
                      <wp:wrapNone/>
                      <wp:docPr id="103" name="Frame10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Bills and Notes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14,927,165</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14,927,165</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14,927,165</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14,927,165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23" w:name="Tc_HzZsZXUD20CDsoqSwK8gkQ_9_4"/>
      <w:bookmarkStart w:id="624" w:name="Tc_MenSUdHg406I0rTt6FzUIw_9_0"/>
      <w:bookmarkStart w:id="625" w:name="Tc_IA8iIv67J0udg3cUTpsKWw_7_4"/>
      <w:bookmarkStart w:id="626" w:name="Tc_KufCl7eHpU2G3es4am7u1Q_7_0"/>
      <w:bookmarkStart w:id="627" w:name="Tc_FFx4Mjsgxky-gAl9WJlAyA_6_7"/>
      <w:bookmarkStart w:id="628" w:name="Tc_-8pukXXvYUi1kLKUqoa4cA_6_0"/>
      <w:bookmarkStart w:id="629" w:name="Tc_QnlYgVuT6UuBsN6iYr4p4g_5_4"/>
      <w:bookmarkStart w:id="630" w:name="Tc_xRh-q3mUzEqgOuSTIAG3rw_5_0"/>
      <w:bookmarkStart w:id="631" w:name="Tc_AesXB4s5zka6AZKroqzN9w_4_7"/>
      <w:bookmarkStart w:id="632" w:name="Tc_1-3lNTHxZkCMaSuZ17bD_w_4_4"/>
      <w:bookmarkStart w:id="633" w:name="Tc_ThqbnINgwUauRir3rF_0jA_4_2"/>
      <w:bookmarkStart w:id="634" w:name="Tc_6G-AolMdIUOY0_yHTNBLvQ_3_7"/>
      <w:bookmarkStart w:id="635" w:name="Tc_yKyzYu0p40irjQ2x8x7R9Q_3_4"/>
      <w:bookmarkStart w:id="636" w:name="Tc_pCvO3VnxYUSvMwd2HwYxkg_3_2"/>
      <w:bookmarkStart w:id="637" w:name="Tc_sXPKGS5v0kOZYeYvRjlhHw_2_7"/>
      <w:bookmarkStart w:id="638" w:name="Tc_lVYRzFu03kiavFEaEq1Ycw_2_4"/>
      <w:bookmarkStart w:id="639" w:name="Tc_wswBE7TF7Ue2k_QSOKHL_Q_2_2"/>
      <w:bookmarkStart w:id="640" w:name="Tc_kWz0ejPZJkyUEewW3ciiww_1_7"/>
      <w:bookmarkStart w:id="641" w:name="Tc_TV7nm_-gzE-Ht_eAQOiB_g_1_4"/>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r>
        <w:rPr>
          <w:rFonts w:ascii="Times New Roman;Times;serif" w:hAnsi="Times New Roman;Times;serif"/>
          <w:b/>
          <w:sz w:val="20"/>
        </w:rPr>
        <w:t>NOTE 6 – STOCK BASED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stock option activities:</w:t>
      </w:r>
    </w:p>
    <w:p>
      <w:pPr>
        <w:pStyle w:val="TextBody"/>
        <w:bidi w:val="0"/>
        <w:spacing w:before="0" w:after="0"/>
        <w:ind w:left="0" w:right="0" w:hanging="0"/>
        <w:jc w:val="left"/>
        <w:rPr/>
      </w:pPr>
      <w:r>
        <w:rPr/>
        <w:t>​</w:t>
      </w:r>
    </w:p>
    <w:tbl>
      <w:tblPr>
        <w:tblW w:w="6998" w:type="dxa"/>
        <w:jc w:val="left"/>
        <w:tblInd w:w="0" w:type="dxa"/>
        <w:tblLayout w:type="fixed"/>
        <w:tblCellMar>
          <w:top w:w="0" w:type="dxa"/>
          <w:left w:w="0" w:type="dxa"/>
          <w:bottom w:w="0" w:type="dxa"/>
          <w:right w:w="0" w:type="dxa"/>
        </w:tblCellMar>
      </w:tblPr>
      <w:tblGrid>
        <w:gridCol w:w="3106"/>
        <w:gridCol w:w="346"/>
        <w:gridCol w:w="931"/>
        <w:gridCol w:w="346"/>
        <w:gridCol w:w="211"/>
        <w:gridCol w:w="676"/>
        <w:gridCol w:w="346"/>
        <w:gridCol w:w="1036"/>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972310" cy="175260"/>
                      <wp:effectExtent l="0" t="0" r="0" b="0"/>
                      <wp:wrapNone/>
                      <wp:docPr id="104" name="Frame104"/>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5"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91185" cy="175260"/>
                      <wp:effectExtent l="0" t="0" r="0" b="0"/>
                      <wp:wrapNone/>
                      <wp:docPr id="106" name="Frame10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29260" cy="175260"/>
                      <wp:effectExtent l="0" t="0" r="0" b="0"/>
                      <wp:wrapNone/>
                      <wp:docPr id="109" name="Frame1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57860" cy="175260"/>
                      <wp:effectExtent l="0" t="0" r="0" b="0"/>
                      <wp:wrapNone/>
                      <wp:docPr id="111" name="Frame11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left"/>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ADS</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3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r>
      <w:tr>
        <w:trPr/>
        <w:tc>
          <w:tcPr>
            <w:tcW w:w="3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Terms</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215,957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42.83</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9.30</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809,661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at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1,025,618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14.84</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9.43</w:t>
            </w:r>
          </w:p>
        </w:tc>
      </w:tr>
      <w:tr>
        <w:trPr/>
        <w:tc>
          <w:tcPr>
            <w:tcW w:w="3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options at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148.08</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8.62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intrinsic value of outstanding options at June 30, 2026 was $0.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642" w:name="Tc_QqNjkZOb1UeiDi5qAkrREQ_9_2"/>
      <w:bookmarkStart w:id="643" w:name="Tc_HSzk_mJwBEmYz2Z_hvTfgg_9_0"/>
      <w:bookmarkStart w:id="644" w:name="Tc_WLPZ9ysKq0qBTetzOdFE6A_8_2"/>
      <w:bookmarkStart w:id="645" w:name="Tc_tHUXitYnWkGCRx0PHDmvgw_8_0"/>
      <w:bookmarkStart w:id="646" w:name="Tc_rBfeM6SPgkmInzZIkTcs2A_7_2"/>
      <w:bookmarkStart w:id="647" w:name="Tc_HYjN41zioUC5ZqGd_Ow35g_7_0"/>
      <w:bookmarkStart w:id="648" w:name="Tc_jRCmeurhykytmWwRrnXjnA_6_0"/>
      <w:bookmarkStart w:id="649" w:name="Tc_M51lkt2p5U6f5Ajxwbk_MA_5_4"/>
      <w:bookmarkStart w:id="650" w:name="Tc_LGJBq8ICc0-jLr4EhFIFYQ_5_0"/>
      <w:bookmarkStart w:id="651" w:name="Tc_zi1-P0n8Sk-2RwF_ESR4-g_4_4"/>
      <w:bookmarkStart w:id="652" w:name="Tc_JLdcmx2HskiwoXBvhqnsMw_4_0"/>
      <w:bookmarkStart w:id="653" w:name="Tc_m_Ek1OmeJ0W8A_26xURV5g_3_4"/>
      <w:bookmarkStart w:id="654" w:name="Tc_K-KPl8wkJECXJ_mfWy_Ulw_3_0"/>
      <w:bookmarkStart w:id="655" w:name="Tc_cwFo4H_XKkCEi3aFM7VFYA_2_2"/>
      <w:bookmarkStart w:id="656" w:name="Tc_NGztko-yPkW2LB3uqC4TFA_1_2"/>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r>
        <w:rPr>
          <w:rFonts w:ascii="Times New Roman;Times;serif" w:hAnsi="Times New Roman;Times;serif"/>
          <w:sz w:val="20"/>
        </w:rPr>
        <w:t xml:space="preserve">Stock options granted during the six months ended </w:t>
      </w:r>
      <w:r>
        <w:rPr>
          <w:rFonts w:ascii="Times New Roman;Times;serif" w:hAnsi="Times New Roman;Times;serif"/>
          <w:color w:val="212529"/>
          <w:sz w:val="20"/>
          <w:shd w:fill="FFFFFF" w:val="clear"/>
        </w:rPr>
        <w:t>June 30, 2026</w:t>
      </w:r>
      <w:r>
        <w:rPr>
          <w:rFonts w:ascii="Times New Roman;Times;serif" w:hAnsi="Times New Roman;Times;serif"/>
          <w:sz w:val="20"/>
        </w:rPr>
        <w:t xml:space="preserve"> were valued using the Black-Scholes option-pricing model with the following weighted average assumptions:</w:t>
      </w:r>
    </w:p>
    <w:p>
      <w:pPr>
        <w:pStyle w:val="TextBody"/>
        <w:bidi w:val="0"/>
        <w:spacing w:before="0" w:after="0"/>
        <w:ind w:left="0" w:right="0" w:hanging="0"/>
        <w:jc w:val="left"/>
        <w:rPr/>
      </w:pPr>
      <w:r>
        <w:rPr/>
        <w:t>​</w:t>
      </w:r>
    </w:p>
    <w:tbl>
      <w:tblPr>
        <w:tblW w:w="4190" w:type="dxa"/>
        <w:jc w:val="left"/>
        <w:tblInd w:w="0" w:type="dxa"/>
        <w:tblLayout w:type="fixed"/>
        <w:tblCellMar>
          <w:top w:w="0" w:type="dxa"/>
          <w:left w:w="0" w:type="dxa"/>
          <w:bottom w:w="0" w:type="dxa"/>
          <w:right w:w="0" w:type="dxa"/>
        </w:tblCellMar>
      </w:tblPr>
      <w:tblGrid>
        <w:gridCol w:w="2746"/>
        <w:gridCol w:w="346"/>
        <w:gridCol w:w="211"/>
        <w:gridCol w:w="571"/>
        <w:gridCol w:w="31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743710" cy="175260"/>
                      <wp:effectExtent l="0" t="0" r="0" b="0"/>
                      <wp:wrapNone/>
                      <wp:docPr id="112" name="Frame112"/>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362585" cy="175260"/>
                      <wp:effectExtent l="0" t="0" r="0" b="0"/>
                      <wp:wrapNone/>
                      <wp:docPr id="115" name="Frame11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0660" cy="175260"/>
                      <wp:effectExtent l="0" t="0" r="0" b="0"/>
                      <wp:wrapNone/>
                      <wp:docPr id="116" name="Frame11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16" w:type="dxa"/>
            <w:tcBorders/>
            <w:vAlign w:val="center"/>
          </w:tcPr>
          <w:p>
            <w:pPr>
              <w:pStyle w:val="TableContents"/>
              <w:bidi w:val="0"/>
              <w:spacing w:before="0" w:after="1"/>
              <w:ind w:left="0" w:right="0" w:hanging="0"/>
              <w:jc w:val="center"/>
              <w:rPr/>
            </w:pPr>
            <w:r>
              <w:rPr/>
              <w:t> </w:t>
            </w:r>
          </w:p>
        </w:tc>
      </w:tr>
      <w:tr>
        <w:trPr/>
        <w:tc>
          <w:tcPr>
            <w:tcW w:w="27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16" w:type="dxa"/>
            <w:tcBorders/>
            <w:vAlign w:val="center"/>
          </w:tcPr>
          <w:p>
            <w:pPr>
              <w:pStyle w:val="TableContents"/>
              <w:bidi w:val="0"/>
              <w:spacing w:before="0" w:after="1"/>
              <w:ind w:left="0" w:right="0" w:hanging="0"/>
              <w:jc w:val="center"/>
              <w:rPr/>
            </w:pPr>
            <w:r>
              <w:rPr/>
              <w:t> </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life of options in years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16" w:type="dxa"/>
            <w:tcBorders/>
            <w:vAlign w:val="center"/>
          </w:tcPr>
          <w:p>
            <w:pPr>
              <w:pStyle w:val="TableContents"/>
              <w:bidi w:val="0"/>
              <w:spacing w:before="0" w:after="1"/>
              <w:ind w:left="0" w:right="0" w:hanging="0"/>
              <w:jc w:val="left"/>
              <w:rPr/>
            </w:pPr>
            <w:r>
              <w:rPr/>
              <w:t>​</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of common stock</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w:t>
            </w:r>
          </w:p>
        </w:tc>
        <w:tc>
          <w:tcPr>
            <w:tcW w:w="316" w:type="dxa"/>
            <w:tcBorders/>
            <w:vAlign w:val="center"/>
          </w:tcPr>
          <w:p>
            <w:pPr>
              <w:pStyle w:val="TableContents"/>
              <w:bidi w:val="0"/>
              <w:spacing w:before="0" w:after="1"/>
              <w:ind w:left="0" w:right="0" w:hanging="0"/>
              <w:jc w:val="left"/>
              <w:rPr/>
            </w:pPr>
            <w:r>
              <w:rPr/>
              <w:t>​</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Estimate fair value of option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6.51</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Stock based compensation expense was approximately $532,000 ($280,000 included in research and development expense and $252,000 included in general and administrative expenses) in the three months ended June 30, 2026. Stock based compensation expense was approximately $977,000 ($502,000 included in research and development expense and $475,000 included in general and administrative expenses) in the six months ended June 30, 2026.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Stock based compensation expense was approximately $321,000 ($86,000 included in research and development expense and $235,000 included in general and administrative expenses) in the three months ended June 30, 2025 and approximately $682,000 ($206,000 included in research and development expense and $476,000 included in general and administrative expenses) in the six months ended June 30, 2025.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 June 30, 2026, the total unrecognized compensation expense related to non-vested options was approximately $6.8 million and is expected to be recognized over the remaining weighted average service period of approximately 3.47 years.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57" w:name="Tc_yz1_QEnSCESDSYYgc-MR8g_7_5"/>
      <w:bookmarkStart w:id="658" w:name="Tc_uzs97jymXE2V5dWqgYMgrw_7_2"/>
      <w:bookmarkStart w:id="659" w:name="Tc_-Ikd6eWqEEi5VesbMeDWiA_7_0"/>
      <w:bookmarkStart w:id="660" w:name="Tc_BsfXTix-Zk-Foo3y_VZXVg_6_6"/>
      <w:bookmarkStart w:id="661" w:name="Tc_9l51C23JzUyC0glPhoQnHg_6_3"/>
      <w:bookmarkStart w:id="662" w:name="Tc_gCIjKNhxVEaXwOPFn5Ox_A_6_0"/>
      <w:bookmarkStart w:id="663" w:name="Tc__zMMQgVZkE6SR2Z5agaD2w_5_0"/>
      <w:bookmarkStart w:id="664" w:name="Tc_0sEtoImKJky7z3JZYMjYNw_4_0"/>
      <w:bookmarkStart w:id="665" w:name="Tc_y5tJuY5m3UKy2ErFxeenqA_3_5"/>
      <w:bookmarkStart w:id="666" w:name="Tc_tTJp8xctfE-TYtrroBEUdw_3_2"/>
      <w:bookmarkStart w:id="667" w:name="Tc_QZiZbIqqmUeKDvhj0t_X3w_3_0"/>
      <w:bookmarkStart w:id="668" w:name="Tc_7pukvF5r9kCvYHv1tN28AQ_2_5"/>
      <w:bookmarkStart w:id="669" w:name="Tc_PVhVIMU6u0GbAtF_t-MTVQ_2_2"/>
      <w:bookmarkStart w:id="670" w:name="Tc_fA9gZ8efY06qyIp9Hw0GXw_1_5"/>
      <w:bookmarkStart w:id="671" w:name="Tc_36Sut4rUvkuXI1yg1ET8Cw_1_2"/>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Pr>
          <w:rFonts w:ascii="Times New Roman;Times;serif" w:hAnsi="Times New Roman;Times;serif"/>
          <w:b/>
          <w:sz w:val="20"/>
        </w:rPr>
        <w:t>NOTE 7 – PREPAID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Prepaid expenses are as follows:</w:t>
      </w:r>
    </w:p>
    <w:p>
      <w:pPr>
        <w:pStyle w:val="TextBody"/>
        <w:bidi w:val="0"/>
        <w:spacing w:before="0" w:after="0"/>
        <w:ind w:left="0" w:right="0" w:hanging="0"/>
        <w:jc w:val="left"/>
        <w:rPr/>
      </w:pPr>
      <w:r>
        <w:rPr/>
        <w:t>​</w:t>
      </w:r>
    </w:p>
    <w:tbl>
      <w:tblPr>
        <w:tblW w:w="5662" w:type="dxa"/>
        <w:jc w:val="left"/>
        <w:tblInd w:w="0" w:type="dxa"/>
        <w:tblLayout w:type="fixed"/>
        <w:tblCellMar>
          <w:top w:w="0" w:type="dxa"/>
          <w:left w:w="0" w:type="dxa"/>
          <w:bottom w:w="0" w:type="dxa"/>
          <w:right w:w="0" w:type="dxa"/>
        </w:tblCellMar>
      </w:tblPr>
      <w:tblGrid>
        <w:gridCol w:w="2731"/>
        <w:gridCol w:w="346"/>
        <w:gridCol w:w="211"/>
        <w:gridCol w:w="781"/>
        <w:gridCol w:w="346"/>
        <w:gridCol w:w="211"/>
        <w:gridCol w:w="1036"/>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734185" cy="175260"/>
                      <wp:effectExtent l="0" t="0" r="0" b="0"/>
                      <wp:wrapNone/>
                      <wp:docPr id="117" name="Frame117"/>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8"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9" name="Frame1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95935" cy="175260"/>
                      <wp:effectExtent l="0" t="0" r="0" b="0"/>
                      <wp:wrapNone/>
                      <wp:docPr id="120" name="Frame12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57860" cy="175260"/>
                      <wp:effectExtent l="0" t="0" r="0" b="0"/>
                      <wp:wrapNone/>
                      <wp:docPr id="123" name="Frame12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R&amp;D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675,978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920,947</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277,808</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prepaid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63,219</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offering costs (note 13)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836,146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1,261,974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72" w:name="Tc_6z5hSxibsES-4RpPdH2O6Q_9_5"/>
      <w:bookmarkStart w:id="673" w:name="Tc_ah2wg96-2kC6BSBZK8sGqg_9_2"/>
      <w:bookmarkStart w:id="674" w:name="Tc_spwhfdQhIUi58UCL76GM8Q_9_0"/>
      <w:bookmarkStart w:id="675" w:name="Tc_YYwea2_99EeBlo7iCpldHQ_8_0"/>
      <w:bookmarkStart w:id="676" w:name="Tc_FGcbAkxBqECCneVGqIVKdQ_7_0"/>
      <w:bookmarkStart w:id="677" w:name="Tc_CScjMpDq40iP03YwO5qfyQ_6_0"/>
      <w:bookmarkStart w:id="678" w:name="Tc_U5_SLNDEFkOaKPHEAo2aNw_5_0"/>
      <w:bookmarkStart w:id="679" w:name="Tc_dJqONejkGEeiRVaJiHzauw_4_0"/>
      <w:bookmarkStart w:id="680" w:name="Tc__QBfMqL9i0WQy-mGCmI4eg_3_5"/>
      <w:bookmarkStart w:id="681" w:name="Tc_klCECcybyEGbqHmLdZzOpA_3_2"/>
      <w:bookmarkStart w:id="682" w:name="Tc_iRsDyK2xCEqRr_52OSu2bw_3_0"/>
      <w:bookmarkStart w:id="683" w:name="Tc_7eXg0jqbN02oRYCKhS5pOg_2_5"/>
      <w:bookmarkStart w:id="684" w:name="Tc__3vtwUAKPkuBuaV0Szd8KQ_2_2"/>
      <w:bookmarkStart w:id="685" w:name="Tc_JOeES4l6_UmaE2T-rek4OA_1_5"/>
      <w:bookmarkStart w:id="686" w:name="Tc_LGUeyvIvV0Kq20pnr8Dblg_1_2"/>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r>
        <w:rPr>
          <w:rFonts w:ascii="Times New Roman;Times;serif" w:hAnsi="Times New Roman;Times;serif"/>
          <w:b/>
          <w:sz w:val="20"/>
        </w:rPr>
        <w:t>NOTE 8 – ACCRUED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Accrued expenses are as follows:</w:t>
      </w:r>
    </w:p>
    <w:p>
      <w:pPr>
        <w:pStyle w:val="TextBody"/>
        <w:bidi w:val="0"/>
        <w:spacing w:before="0" w:after="0"/>
        <w:ind w:left="0" w:right="0" w:hanging="0"/>
        <w:jc w:val="left"/>
        <w:rPr/>
      </w:pPr>
      <w:r>
        <w:rPr/>
        <w:t>​</w:t>
      </w:r>
    </w:p>
    <w:tbl>
      <w:tblPr>
        <w:tblW w:w="6202" w:type="dxa"/>
        <w:jc w:val="left"/>
        <w:tblInd w:w="0" w:type="dxa"/>
        <w:tblLayout w:type="fixed"/>
        <w:tblCellMar>
          <w:top w:w="0" w:type="dxa"/>
          <w:left w:w="0" w:type="dxa"/>
          <w:bottom w:w="0" w:type="dxa"/>
          <w:right w:w="0" w:type="dxa"/>
        </w:tblCellMar>
      </w:tblPr>
      <w:tblGrid>
        <w:gridCol w:w="3121"/>
        <w:gridCol w:w="346"/>
        <w:gridCol w:w="211"/>
        <w:gridCol w:w="931"/>
        <w:gridCol w:w="346"/>
        <w:gridCol w:w="211"/>
        <w:gridCol w:w="1036"/>
      </w:tblGrid>
      <w:tr>
        <w:trPr/>
        <w:tc>
          <w:tcPr>
            <w:tcW w:w="3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981835" cy="175260"/>
                      <wp:effectExtent l="0" t="0" r="0" b="0"/>
                      <wp:wrapNone/>
                      <wp:docPr id="124" name="Frame124"/>
                      <a:graphic xmlns:a="http://schemas.openxmlformats.org/drawingml/2006/main">
                        <a:graphicData uri="http://schemas.microsoft.com/office/word/2010/wordprocessingShape">
                          <wps:wsp>
                            <wps:cNvSpPr txBox="1"/>
                            <wps:spPr>
                              <a:xfrm>
                                <a:off x="0" y="0"/>
                                <a:ext cx="1981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91185" cy="175260"/>
                      <wp:effectExtent l="0" t="0" r="0" b="0"/>
                      <wp:wrapNone/>
                      <wp:docPr id="127" name="Frame12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9" name="Frame1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57860" cy="175260"/>
                      <wp:effectExtent l="0" t="0" r="0" b="0"/>
                      <wp:wrapNone/>
                      <wp:docPr id="130" name="Frame13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1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contract expenses (note 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357,620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934,524</w:t>
            </w:r>
          </w:p>
        </w:tc>
      </w:tr>
      <w:tr>
        <w:trPr/>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Payroll (note 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970,464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1,023,295</w:t>
            </w:r>
          </w:p>
        </w:tc>
      </w:tr>
      <w:tr>
        <w:trPr/>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Payroll taxes (note 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54,936</w:t>
            </w:r>
          </w:p>
        </w:tc>
      </w:tr>
      <w:tr>
        <w:trPr/>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severance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175,116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391,926</w:t>
            </w:r>
          </w:p>
        </w:tc>
      </w:tr>
      <w:tr>
        <w:trPr/>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96,848</w:t>
            </w:r>
          </w:p>
        </w:tc>
      </w:tr>
      <w:tr>
        <w:trPr/>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95,238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36,928</w:t>
            </w:r>
          </w:p>
        </w:tc>
      </w:tr>
      <w:tr>
        <w:trPr/>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1,757,390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2,538,457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9 – IN-LICENSED TECHNOLOGY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Skinvisible: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October 2019, Quoin Inc. entered into the Exclusive Licensing Agreement (as amended from time to time, the “License Agreement”) with Skinvisible Pharmaceuticals, Inc. (“Skinvisible”), under which Skinvisible granted the Company an exclusive royalty-bearing license relating to the production and manufacture of prescription drug products related to certain patents held by Skinvisible, including those related to QRX003 and QRX004. The Company made Skinvisible a one-time non-refundable, non-creditable license fee of $1 million (the “License Fee”). In addition, the Company agreed to pay Skinvisible a single digit royalty percentage of the Company’s net sales revenues for any licensed product covered by the patent rights licensed under the License Agreement. The Company also agreed to pay Skinvisible 25% of any revenues the Company receives as royalties in the event that the Company sublicenses any licensed products to a third party. The License Agreement also requires that the Company make a one-time $5 million payment to Skinvisible upon receiving approval in the U.S. or European Union, whichever occurs first, for the first drug product developed using intellectual property licensed thereunder. There were no milestone or royalty obligations due at June 30, 2026 and December 31, 2025.</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687" w:name="Tc_uotzjg-PbEayBzB0gCPIGQ_6_5"/>
      <w:bookmarkStart w:id="688" w:name="Tc_EZi6pC5V-kOOdHuMDeofwA_6_2"/>
      <w:bookmarkStart w:id="689" w:name="Tc_CktxzkmQX0WCF7Js0pBHlw_6_0"/>
      <w:bookmarkStart w:id="690" w:name="Tc_W12jPpq7D0yBgi4DPpitAg_5_0"/>
      <w:bookmarkStart w:id="691" w:name="Tc_xKian0qYTUKQJxIitjFO1g_4_0"/>
      <w:bookmarkStart w:id="692" w:name="Tc_5kWralRtVEmgA0-Kgh7qyw_3_5"/>
      <w:bookmarkStart w:id="693" w:name="Tc_UjzSBF0W3kWh-JubWVwJiQ_3_2"/>
      <w:bookmarkStart w:id="694" w:name="Tc_loJEzU6PP0CF5_ytt1-bbA_3_0"/>
      <w:bookmarkStart w:id="695" w:name="Tc_Mi8EohXdDkiRX0EwEiVFoQ_2_5"/>
      <w:bookmarkStart w:id="696" w:name="Tc_1yTqmaNzhkS8-ZYLOAqs_g_2_2"/>
      <w:bookmarkStart w:id="697" w:name="Tc_Zkq0FTLDN0eQBTl0VXKY5w_1_5"/>
      <w:bookmarkStart w:id="698" w:name="Tc_YacRKtobVE2B54eRLEwRFQ_1_2"/>
      <w:bookmarkEnd w:id="687"/>
      <w:bookmarkEnd w:id="688"/>
      <w:bookmarkEnd w:id="689"/>
      <w:bookmarkEnd w:id="690"/>
      <w:bookmarkEnd w:id="691"/>
      <w:bookmarkEnd w:id="692"/>
      <w:bookmarkEnd w:id="693"/>
      <w:bookmarkEnd w:id="694"/>
      <w:bookmarkEnd w:id="695"/>
      <w:bookmarkEnd w:id="696"/>
      <w:bookmarkEnd w:id="697"/>
      <w:bookmarkEnd w:id="698"/>
      <w:r>
        <w:rPr>
          <w:rFonts w:ascii="Times New Roman;Times;serif" w:hAnsi="Times New Roman;Times;serif"/>
          <w:b/>
          <w:sz w:val="20"/>
        </w:rPr>
        <w:t>NOTE 10 – INTANGIBLE ASSETS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Intangible assets are as follows:</w:t>
      </w:r>
    </w:p>
    <w:p>
      <w:pPr>
        <w:pStyle w:val="TextBody"/>
        <w:bidi w:val="0"/>
        <w:spacing w:before="0" w:after="240"/>
        <w:ind w:left="0" w:right="0" w:hanging="0"/>
        <w:jc w:val="both"/>
        <w:rPr/>
      </w:pPr>
      <w:r>
        <w:rPr/>
        <w:t>​</w:t>
      </w:r>
    </w:p>
    <w:tbl>
      <w:tblPr>
        <w:tblW w:w="5872" w:type="dxa"/>
        <w:jc w:val="left"/>
        <w:tblInd w:w="0" w:type="dxa"/>
        <w:tblLayout w:type="fixed"/>
        <w:tblCellMar>
          <w:top w:w="0" w:type="dxa"/>
          <w:left w:w="0" w:type="dxa"/>
          <w:bottom w:w="0" w:type="dxa"/>
          <w:right w:w="0" w:type="dxa"/>
        </w:tblCellMar>
      </w:tblPr>
      <w:tblGrid>
        <w:gridCol w:w="2851"/>
        <w:gridCol w:w="346"/>
        <w:gridCol w:w="211"/>
        <w:gridCol w:w="931"/>
        <w:gridCol w:w="346"/>
        <w:gridCol w:w="211"/>
        <w:gridCol w:w="976"/>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810385" cy="175260"/>
                      <wp:effectExtent l="0" t="0" r="0" b="0"/>
                      <wp:wrapNone/>
                      <wp:docPr id="131" name="Frame131"/>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91185" cy="175260"/>
                      <wp:effectExtent l="0" t="0" r="0" b="0"/>
                      <wp:wrapNone/>
                      <wp:docPr id="134" name="Frame13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5"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6" name="Frame1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19760" cy="175260"/>
                      <wp:effectExtent l="0" t="0" r="0" b="0"/>
                      <wp:wrapNone/>
                      <wp:docPr id="137" name="Frame13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  ​ ​ ​</w:t>
            </w:r>
          </w:p>
        </w:tc>
        <w:tc>
          <w:tcPr>
            <w:tcW w:w="11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8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8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 license – Skinvisible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1,000,000</w:t>
            </w:r>
          </w:p>
        </w:tc>
      </w:tr>
      <w:tr>
        <w:trPr/>
        <w:tc>
          <w:tcPr>
            <w:tcW w:w="28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cost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1,000,000</w:t>
            </w:r>
          </w:p>
        </w:tc>
      </w:tr>
      <w:tr>
        <w:trPr/>
        <w:tc>
          <w:tcPr>
            <w:tcW w:w="28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(666,666)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(616,666)</w:t>
            </w:r>
          </w:p>
        </w:tc>
      </w:tr>
      <w:tr>
        <w:trPr/>
        <w:tc>
          <w:tcPr>
            <w:tcW w:w="28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book value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333,334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383,334</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recorded amortization expense of approximately $25,000 and $25,000 in the three months ended June 30, 2026 and 2025, respectively. The Company recorded amortization expense of approximately $50,000 and $50,000 in the six months ended June 30, 2026 and 2025, respectively. The annual amortization expense expected to be recorded for existing intangible assets for the years 2026 through 2029, is approximately $50,000, $100,000, $100,000 and $83,000, respectively.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99" w:name="Tc_Mphu9-mOvUmmO8d-W9Caqw_5_5"/>
      <w:bookmarkStart w:id="700" w:name="Tc_g9KMW13bLU-AKNhEeaEl7Q_5_2"/>
      <w:bookmarkStart w:id="701" w:name="Tc_YBKlvr-DjUu2urBCCLRAnA_3_5"/>
      <w:bookmarkStart w:id="702" w:name="Tc_N_yymzlkYEq3zbEX1nItRA_3_2"/>
      <w:bookmarkStart w:id="703" w:name="Tc_rCKfpefXmU6f4kpSqRM0nw_2_5"/>
      <w:bookmarkStart w:id="704" w:name="Tc_7crqVKzTmkqNz7jAQW8Otw_2_2"/>
      <w:bookmarkStart w:id="705" w:name="Tc_-j8utM6RN0Kw4moEeQ7SMw_1_5"/>
      <w:bookmarkStart w:id="706" w:name="Tc_Kox1MgaRikW2GNOb_65Mkw_1_2"/>
      <w:bookmarkEnd w:id="699"/>
      <w:bookmarkEnd w:id="700"/>
      <w:bookmarkEnd w:id="701"/>
      <w:bookmarkEnd w:id="702"/>
      <w:bookmarkEnd w:id="703"/>
      <w:bookmarkEnd w:id="704"/>
      <w:bookmarkEnd w:id="705"/>
      <w:bookmarkEnd w:id="706"/>
      <w:r>
        <w:rPr>
          <w:rFonts w:ascii="Times New Roman;Times;serif" w:hAnsi="Times New Roman;Times;serif"/>
          <w:b/>
          <w:sz w:val="20"/>
        </w:rPr>
        <w:t>NOTE 11 – RELATED PARTY TRANSACTIONS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Due to Officers/Founders: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Due to the limited funding of Quoin Inc. prior to the consummation of the Merger, the compensation, including salary, office and car allowances and other benefits, due to Dr. Myers and Ms. Carter under their respective employment agreements, as well as reimbursement of expenses and other amounts paid by Dr. Myers and Ms. Carter to third parties on behalf of Quoin Inc., were not paid by Quoin Inc. to Dr. Myers and Ms. Carter, and were accrued as indebtedness to Dr. Myers and Ms. Carter. Following the closing of the Merger, Quoin Inc. began making payments of $25,000 per month to each of Dr. Myers and Ms. Carter to </w:t>
      </w:r>
      <w:r>
        <w:rPr>
          <w:rFonts w:ascii="Times New Roman;Times;serif" w:hAnsi="Times New Roman;Times;serif"/>
          <w:b w:val="false"/>
          <w:i w:val="false"/>
          <w:caps w:val="false"/>
          <w:smallCaps w:val="false"/>
          <w:sz w:val="20"/>
        </w:rPr>
        <w:t>repay</w:t>
      </w:r>
      <w:r>
        <w:rPr>
          <w:rFonts w:ascii="Times New Roman;Times;serif" w:hAnsi="Times New Roman;Times;serif"/>
          <w:sz w:val="20"/>
        </w:rPr>
        <w:t xml:space="preserve"> the above-described non-interest-bearing indebtedness. The Company repaid $75,000 and $75,000 of such indebtedness to Dr. Myers and $75,000 and $75,000 to Ms. Carter in the three months ended June 30, 2026 and 2025, respectively. The Company repaid $150,000 and $150,000 of such indebtedness to Dr. Myers and $150,000 and $150,000 to Ms. Carter in the six months ended June 30, 2026 and 2025, respectively. As of June 30, 2026, approximately $1.2 million and $0.8 million of such indebtedness was outstanding to </w:t>
      </w:r>
      <w:r>
        <w:rPr>
          <w:rFonts w:ascii="Times New Roman;Times;serif" w:hAnsi="Times New Roman;Times;serif"/>
          <w:b w:val="false"/>
          <w:i w:val="false"/>
          <w:caps w:val="false"/>
          <w:smallCaps w:val="false"/>
          <w:sz w:val="20"/>
        </w:rPr>
        <w:t xml:space="preserve">Dr. Myers </w:t>
      </w:r>
      <w:r>
        <w:rPr>
          <w:rFonts w:ascii="Times New Roman;Times;serif" w:hAnsi="Times New Roman;Times;serif"/>
          <w:sz w:val="20"/>
        </w:rPr>
        <w:t xml:space="preserve">and </w:t>
      </w:r>
      <w:r>
        <w:rPr>
          <w:rFonts w:ascii="Times New Roman;Times;serif" w:hAnsi="Times New Roman;Times;serif"/>
          <w:b w:val="false"/>
          <w:i w:val="false"/>
          <w:caps w:val="false"/>
          <w:smallCaps w:val="false"/>
          <w:sz w:val="20"/>
        </w:rPr>
        <w:t>Ms. Carter</w:t>
      </w:r>
      <w:r>
        <w:rPr>
          <w:rFonts w:ascii="Times New Roman;Times;serif" w:hAnsi="Times New Roman;Times;serif"/>
          <w:sz w:val="20"/>
        </w:rPr>
        <w:t>,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Amounts due to officers at June 30, 2026 and December 31, 2025 consisted of the following:</w:t>
      </w:r>
    </w:p>
    <w:p>
      <w:pPr>
        <w:pStyle w:val="TextBody"/>
        <w:bidi w:val="0"/>
        <w:spacing w:before="0" w:after="0"/>
        <w:ind w:left="0" w:right="0" w:hanging="0"/>
        <w:jc w:val="left"/>
        <w:rPr/>
      </w:pPr>
      <w:r>
        <w:rPr/>
        <w:t>​</w:t>
      </w:r>
    </w:p>
    <w:tbl>
      <w:tblPr>
        <w:tblW w:w="5827" w:type="dxa"/>
        <w:jc w:val="left"/>
        <w:tblInd w:w="0" w:type="dxa"/>
        <w:tblLayout w:type="fixed"/>
        <w:tblCellMar>
          <w:top w:w="0" w:type="dxa"/>
          <w:left w:w="0" w:type="dxa"/>
          <w:bottom w:w="0" w:type="dxa"/>
          <w:right w:w="0" w:type="dxa"/>
        </w:tblCellMar>
      </w:tblPr>
      <w:tblGrid>
        <w:gridCol w:w="2746"/>
        <w:gridCol w:w="346"/>
        <w:gridCol w:w="211"/>
        <w:gridCol w:w="931"/>
        <w:gridCol w:w="346"/>
        <w:gridCol w:w="211"/>
        <w:gridCol w:w="103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743710" cy="175260"/>
                      <wp:effectExtent l="0" t="0" r="0" b="0"/>
                      <wp:wrapNone/>
                      <wp:docPr id="138" name="Frame138"/>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91185" cy="175260"/>
                      <wp:effectExtent l="0" t="0" r="0" b="0"/>
                      <wp:wrapNone/>
                      <wp:docPr id="141" name="Frame14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33985" cy="175260"/>
                      <wp:effectExtent l="0" t="0" r="0" b="0"/>
                      <wp:wrapNone/>
                      <wp:docPr id="143"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57860" cy="175260"/>
                      <wp:effectExtent l="0" t="0" r="0" b="0"/>
                      <wp:wrapNone/>
                      <wp:docPr id="144" name="Frame14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and other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2,023,733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2,323,733</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Short-term portion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(600,000)</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(600,000)</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portion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1,423,733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1,723,733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Payable: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See Note 4 for interest payable on the 2020 Notes.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707" w:name="_0341b6a7_29eb_4904_952a_88c71ded12f6_5"/>
      <w:bookmarkStart w:id="708" w:name="_0341b6a7_29eb_4904_952a_88c71ded12f6_4"/>
      <w:bookmarkStart w:id="709" w:name="_0341b6a7_29eb_4904_952a_88c71ded12f6_3"/>
      <w:bookmarkStart w:id="710" w:name="_0341b6a7_29eb_4904_952a_88c71ded12f6_2"/>
      <w:bookmarkStart w:id="711" w:name="_0341b6a7_29eb_4904_952a_88c71ded12f6"/>
      <w:bookmarkEnd w:id="707"/>
      <w:bookmarkEnd w:id="708"/>
      <w:bookmarkEnd w:id="709"/>
      <w:bookmarkEnd w:id="710"/>
      <w:bookmarkEnd w:id="711"/>
      <w:r>
        <w:rPr>
          <w:rFonts w:ascii="Times New Roman;Times;serif" w:hAnsi="Times New Roman;Times;serif"/>
          <w:b/>
          <w:sz w:val="20"/>
        </w:rPr>
        <w:t>NOTE 12 – RESEARCH AGREEMENTS AND COMMITMENTS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2020, the Company, through its subsidiary Quoin Inc., entered into a Master Service Agreement with Therapeutics Inc. for the management of the pre - clinical and clinical development of QRX003 for Netherton Syndrome. The initial term of the agreement was three years with automatic one year extensions, and the agreement required the execution of individual work orders. The Company may terminate any work order for any reason with 90 days written notice subject to costs incurred through termination and a defined termination fee, unless there is a material breach by Therapeutics Inc. A work order was entered into in June 2022 for the first QRX003 clinical study at an expected estimated cost of approximately $4.4 million. An additional change order was entered into in December 2022 for a second QRX003 clinical study at an expected estimated cost of approximately $830,000. An amended and restated change order for the two studies was entered into in December 2024 at an estimated total remaining cost from August 2024 of approximately $3.6 million for the two studies combined. A further amended and restated change order for the additional studies initiated and planned for 2026 was entered into in July 2026 for expected costs of approximately $3 million. For the three and six months ended June 30, 2026 and 2025, the Company incurred research and development expenses under these agreements of approximately $303,000 and $1.4 million and $348,000 and $759,000 respectively. During the three months ended June 30, 2026, the Company received a credit of approximately $377,000 applied to prior expenses incurred during the period of November 2025 to March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2021, the Company entered into a research agreement with Queensland University of Technology (QUT) for a pre-clinical research program for the development of a product to treat Netherton Syndrome of approximately $250,000. In May 2022, the Company entered into a second research agreement with QUT for the development of a product to treat Scleroderma of approximately $610,000. Each agreement remains in place until the completion of the research program, which in each case was initially anticipated to be 18 months from execution. For the three and six months ended June 30, 2026 and 2025, the Company incurred no research and development costs related to these agreements. In July 2025 the Company announced that, in light of the expected near - term completion of the QRX003 clinical program for Netherton Syndrome, the Company has discontinued the Netherton Syndrome research program with QUT. The Company is planning to schedule a meeting with QUT to discuss the future direction of the Scleroderma research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June 2024, the Company signed a research agreement with The School of Pharmacy at University College Cork, Ireland (UCC). The scope of the agreement encompasses the development of novel topical formulations of rapamycin (sirolimus) as potential treatments for a number of rare and orphan diseases for which there are currently no approved therapies or cures. Under the terms of the agreement, based on the achievement of certain milestones, the Company will fund up to approximately €567,000 ($655,000) plus VAT over an anticipated </w:t>
      </w:r>
      <w:r>
        <w:rPr>
          <w:rFonts w:ascii="Times New Roman;Times;serif" w:hAnsi="Times New Roman;Times;serif"/>
          <w:b w:val="false"/>
          <w:i w:val="false"/>
          <w:caps w:val="false"/>
          <w:smallCaps w:val="false"/>
          <w:sz w:val="20"/>
        </w:rPr>
        <w:t>2-1/2 year</w:t>
      </w:r>
      <w:r>
        <w:rPr>
          <w:rFonts w:ascii="Times New Roman;Times;serif" w:hAnsi="Times New Roman;Times;serif"/>
          <w:sz w:val="20"/>
        </w:rPr>
        <w:t xml:space="preserve"> period to support the UCC research program to investigate the development of a number of topical rapamycin formulations for future development as potential treatments for several rare and orphan diseases. Following completion of the research program, the Company will have the option to advance the clinical development of rapamycin formulations developed by UCC. For the three and six months ended June 30, 2026 and 2025, the Company incurred research and development expenses under these agreements of approximately $0 and $0 and $60,000 and $120,000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February 2026, the Company signed a research agreement with Evestia Clinical Limited for the management of the UK and European clinical development of QRX003 for Netherton Syndrome. The initial term of the agreement is five years and the agreement requires the execution of individual work orders. Quoin Inc. may terminate any work order for any reason with 30 days written notice subject to costs incurred through termination and a defined termination fee, unless there is a material breach by Evestia Clinical Limited. A work order was entered into in March 2026 for the first QRX003 UK and European clinical study at an expected estimated cost of approximately $800,000. For the three and six months ended June 30, 2026, the Company incurred research and development expenses under this agreement of approximately $280,000 and $344,000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April 2026, the Company, through its subsidiary Quoin Inc., signed a research agreement with Sapro Consulting Pty Limited for the management of a pharmacokinetic study of QRX009. The Company may terminate the agreement for any reason with 30 days written notice subject to costs incurred through termination unless there is a material breach by Sapro Consulting Pty Limited. The agreement covers an expected estimated cost of approximately AUD$1.8 million ($1.3 million). For the three and six months ended June 30, 2026, the Company incurred research and development expenses under this agreement of approximately$91,000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Performance milestones and Royalties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See Note 9 for asset and in-licensed technology commitments.</w:t>
      </w:r>
    </w:p>
    <w:p>
      <w:pPr>
        <w:pStyle w:val="TextBody"/>
        <w:bidi w:val="0"/>
        <w:spacing w:before="0" w:after="200"/>
        <w:ind w:left="0" w:right="0" w:hanging="0"/>
        <w:jc w:val="left"/>
        <w:rPr>
          <w:rFonts w:ascii="Times New Roman;Times;serif" w:hAnsi="Times New Roman;Times;serif"/>
          <w:b/>
          <w:sz w:val="20"/>
        </w:rPr>
      </w:pPr>
      <w:bookmarkStart w:id="712" w:name="Tc_7VUpJ7Eo0kGp4k1yRPdnww_9_4"/>
      <w:bookmarkStart w:id="713" w:name="Tc_qTaG6_Hng0aGxkNQ7F-AWA_9_0"/>
      <w:bookmarkStart w:id="714" w:name="Tc_43RnDcUd2UmO96JeC1TYbQ_8_0"/>
      <w:bookmarkStart w:id="715" w:name="Tc_9FDLTgKM10eTkZclNUAjtQ_7_0"/>
      <w:bookmarkStart w:id="716" w:name="Tc_cPOQctRYSk-B6l-wQETu1w_6_5"/>
      <w:bookmarkStart w:id="717" w:name="Tc_awrjpvuT8EmQXY3lt7_Q8Q_6_0"/>
      <w:bookmarkStart w:id="718" w:name="Tc_keQJg9W_FU6cuUI6fGqhdA_5_4"/>
      <w:bookmarkStart w:id="719" w:name="Tc_0y5iohbNi02tg8rP1rhRoA_5_0"/>
      <w:bookmarkStart w:id="720" w:name="Tc_IbJCMMRUe0u8dsnpW1v3Lg_4_4"/>
      <w:bookmarkStart w:id="721" w:name="Tc_ElPyZlFIjkqun_1FtQKRMw_4_2"/>
      <w:bookmarkStart w:id="722" w:name="Tc_SJfmOzhcIUOWaPTiRuYZdw_3_4"/>
      <w:bookmarkStart w:id="723" w:name="Tc_diiTSxX5JUqedK5g0H9euA_3_2"/>
      <w:bookmarkStart w:id="724" w:name="Tc_8q03Q0py3USaHth_UfJaYg_2_4"/>
      <w:bookmarkStart w:id="725" w:name="Tc_NsEazUk2gU608v_pT5KMCw_2_2"/>
      <w:bookmarkStart w:id="726" w:name="Tc_UEtWrpm4a0GOWKt5zWPkqg_1_4"/>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r>
        <w:rPr>
          <w:rFonts w:ascii="Times New Roman;Times;serif" w:hAnsi="Times New Roman;Times;serif"/>
          <w:b/>
          <w:sz w:val="20"/>
        </w:rPr>
        <w:t>NOTE 13 – SHAREHOLDERS’ EQUITY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the six months to June 30, 2026, certain investors in the October 2025 Private Placement exercised (i) 485,093 October 2025 Pre-Funded Warrants and (ii) 25,000 Series H Warrants, resulting in net proceeds to the Company of approximately $204,000.</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warrant activities during the six months ended June 30, 2026:</w:t>
      </w:r>
    </w:p>
    <w:p>
      <w:pPr>
        <w:pStyle w:val="TextBody"/>
        <w:bidi w:val="0"/>
        <w:spacing w:before="0" w:after="0"/>
        <w:ind w:left="0" w:right="0" w:hanging="0"/>
        <w:jc w:val="left"/>
        <w:rPr/>
      </w:pPr>
      <w:r>
        <w:rPr/>
        <w:t>​</w:t>
      </w:r>
    </w:p>
    <w:tbl>
      <w:tblPr>
        <w:tblW w:w="7145" w:type="dxa"/>
        <w:jc w:val="left"/>
        <w:tblInd w:w="0" w:type="dxa"/>
        <w:tblLayout w:type="fixed"/>
        <w:tblCellMar>
          <w:top w:w="0" w:type="dxa"/>
          <w:left w:w="0" w:type="dxa"/>
          <w:bottom w:w="0" w:type="dxa"/>
          <w:right w:w="0" w:type="dxa"/>
        </w:tblCellMar>
      </w:tblPr>
      <w:tblGrid>
        <w:gridCol w:w="4246"/>
        <w:gridCol w:w="346"/>
        <w:gridCol w:w="1036"/>
        <w:gridCol w:w="346"/>
        <w:gridCol w:w="278"/>
        <w:gridCol w:w="893"/>
      </w:tblGrid>
      <w:tr>
        <w:trPr/>
        <w:tc>
          <w:tcPr>
            <w:tcW w:w="4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696210" cy="175260"/>
                      <wp:effectExtent l="0" t="0" r="0" b="0"/>
                      <wp:wrapNone/>
                      <wp:docPr id="145" name="Frame145"/>
                      <a:graphic xmlns:a="http://schemas.openxmlformats.org/drawingml/2006/main">
                        <a:graphicData uri="http://schemas.microsoft.com/office/word/2010/wordprocessingShape">
                          <wps:wsp>
                            <wps:cNvSpPr txBox="1"/>
                            <wps:spPr>
                              <a:xfrm>
                                <a:off x="0" y="0"/>
                                <a:ext cx="269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57860" cy="175260"/>
                      <wp:effectExtent l="0" t="0" r="0" b="0"/>
                      <wp:wrapNone/>
                      <wp:docPr id="147" name="Frame14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76530" cy="175260"/>
                      <wp:effectExtent l="0" t="0" r="0" b="0"/>
                      <wp:wrapNone/>
                      <wp:docPr id="149" name="Frame149"/>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567055" cy="175260"/>
                      <wp:effectExtent l="0" t="0" r="0" b="0"/>
                      <wp:wrapNone/>
                      <wp:docPr id="150" name="Frame150"/>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4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ADSs</w:t>
            </w:r>
          </w:p>
        </w:tc>
        <w:tc>
          <w:tcPr>
            <w:tcW w:w="34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4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r>
      <w:tr>
        <w:trPr/>
        <w:tc>
          <w:tcPr>
            <w:tcW w:w="4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346" w:type="dxa"/>
            <w:tcBorders/>
            <w:vAlign w:val="center"/>
          </w:tcPr>
          <w:p>
            <w:pPr>
              <w:pStyle w:val="TableContents"/>
              <w:bidi w:val="0"/>
              <w:spacing w:before="0" w:after="0"/>
              <w:ind w:left="0" w:right="0" w:hanging="0"/>
              <w:jc w:val="left"/>
              <w:rPr/>
            </w:pPr>
            <w:r>
              <w:rPr/>
              <w:t>​</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ADS</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and exercisable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10,241,240</w:t>
            </w:r>
          </w:p>
        </w:tc>
        <w:tc>
          <w:tcPr>
            <w:tcW w:w="346" w:type="dxa"/>
            <w:tcBorders/>
            <w:shd w:fill="CCEEFF" w:val="clear"/>
            <w:vAlign w:val="center"/>
          </w:tcPr>
          <w:p>
            <w:pPr>
              <w:pStyle w:val="TableContents"/>
              <w:bidi w:val="0"/>
              <w:spacing w:before="0" w:after="0"/>
              <w:ind w:left="0" w:right="0" w:hanging="0"/>
              <w:jc w:val="left"/>
              <w:rPr/>
            </w:pPr>
            <w:r>
              <w:rPr/>
              <w:t> </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Exercised Pre-Funded Warrants </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(485,093)</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Exercised Warrants </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(22,324)</w:t>
            </w:r>
          </w:p>
        </w:tc>
        <w:tc>
          <w:tcPr>
            <w:tcW w:w="346"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56.00</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and exercisable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9,708,823</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11.02</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2026, outstanding Warrants expire through 2030, and the outstanding Warrants have an approximate intrinsic value of $4.0 million.</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14 – CONTINGENCIES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the Company may become involved in various legal matters arising in the ordinary course of business. Management is unaware of any matters requiring accrual for related losses in the unaudited condensed consolidated financial statements.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15 – LICENSE AGREEMENTS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June 30, 2026, the Company had nine commercial license and supply agreements outstanding, whereby the Company will receive a royalty or other proceeds from the specified product revenues from the licensor, if and when the underlying products are approved and commercialized or sold via compassionate use or early access programs. No royalty revenues have been received through June 30, 2026 from any of these agreements.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27" w:name="Item2ManagementsDiscussionandAnalysisofF"/>
      <w:bookmarkStart w:id="728" w:name="_c9359a8c_c0f9_4a0b_b587_e82384075073"/>
      <w:bookmarkEnd w:id="727"/>
      <w:bookmarkEnd w:id="728"/>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together with our unaudited condensed consolidated financial statements and related notes thereto included in Part I-Item 1 of this Form 10-Q and the audited financial statements and the other information set forth in the Annual Report on Form 10-K for the year ended December 31, 2025 that we filed with the SEC on March 26, 2026 (the “2025 Form 10-K”). This discussion and other parts of this report contain forward-looking statements that reflect our plans, estimates, beliefs and expectations that involve risks and uncertainties including, but not limited to, those set forth below under “Risk Factors” and elsewhere herein, and those identified under Part I, Item 1A of the 2025 Form 10-K. Our actual results and the timing of events could differ materially from those discussed in these forward-looking statements. See “Cautionary Note Regarding Forward-Looking Statements” in this Form 10-Q.</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late-stage clinical specialty pharmaceutical company focused on the development and commercialization of therapeutic products that treat rare and orphan diseases for which there are currently either no approved or very limited treatments or cures. Our lead product, QRX003, is under clinical development as a potential treatment for Netherton Syndrome, a rare hereditary genetic disease. QRX003 is entering pivotal registrational clinical testing under an open IND application with the FDA. We have opened six clinical sites in the U.S. along with international sites that are being opened in the UK, Spain, France and the Netherlands. QRX003 is currently being tested in eight pediatric NS patients in a Compassionate Use program in Ireland, Austria, the Netherlands and New Zealand and an additional 3 pediatric patients are expected to be enrolled this year. QRX003 is also being developed as a potential treatment for Peeling Skin Syndrome. We submitted an IND application for QRX003 in Peeling Skin Syndrome in the second quarter of 2026, which was cleared by the FDA on July 9, 2026 and plan to initiate a Phase 2/3 study in the second half of 2026. We have also entered into 9 commercial partnerships for QRX003 spanning 61 countries outside of our core commercial territories of the U.S., Western Europe and Japan. These partnership countries include Canada, Australia, New Zealand, the Middle East, China, Taiwan, Hong Kong, Singapore, Israel, Central and Eastern Europe, Turkey as well as several countries in Latin America. We entered into a Research Agreement with QUT, under which we have obtained an option for a global license to QRX008 for the potential treatment of scleroderma, as well as a Research Agreement with UCC for the development of novel topical formulations of rapamycin (sirolimus), QRX009, as potential treatments for a number of rare and orphan diseases for which there are either limited or no approved therapies or cures, including Pachyonychia Congenita, Gorlin Syndrome, Tuberous Sclerosis Complex, microcystic lymphatic malformations, venous malformations and angiofibromas, as well as other indications that the Company is assessing. We are planning to initiate investigator-led clinical studies in Pachyonychia Congenita, Gorlin Syndrome and Tuberous Sclerosis Complex.</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mission is to develop and commercialize proprietary therapeutic drug products that treat rare and orphan diseases, particularly for those diseases where no approved treatment currently exists. To achieve this, we plan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the late-stage clinical testing of QRX003 in NS and, if successful, file for marketing approval in the United States, Europe, Japan and the other territories for which we have commercial agreements in place;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 to commercialize QRX003 by (i) establishing our own sales infrastructure in the U.S., Europe, and Japan and (ii) work with our distribution partners to commercialize the product in Canada, Australia/New Zealand, the Middle East, China, Hong Kong, Taiwan, Latin America, Central and Eastern Europe, Turkey and Singapore;</w:t>
            </w:r>
          </w:p>
        </w:tc>
      </w:tr>
    </w:tbl>
    <w:tbl>
      <w:tblPr>
        <w:tblW w:w="8991" w:type="dxa"/>
        <w:jc w:val="left"/>
        <w:tblInd w:w="0" w:type="dxa"/>
        <w:tblLayout w:type="fixed"/>
        <w:tblCellMar>
          <w:top w:w="28" w:type="dxa"/>
          <w:left w:w="28" w:type="dxa"/>
          <w:bottom w:w="28" w:type="dxa"/>
          <w:right w:w="28" w:type="dxa"/>
        </w:tblCellMar>
      </w:tblPr>
      <w:tblGrid>
        <w:gridCol w:w="124"/>
        <w:gridCol w:w="256"/>
        <w:gridCol w:w="8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the development of QRX003 for Peeling Skin Syndrome and related rare, genetic skin diseases;</w:t>
            </w:r>
          </w:p>
        </w:tc>
      </w:tr>
    </w:tbl>
    <w:tbl>
      <w:tblPr>
        <w:tblW w:w="7821" w:type="dxa"/>
        <w:jc w:val="left"/>
        <w:tblInd w:w="0" w:type="dxa"/>
        <w:tblLayout w:type="fixed"/>
        <w:tblCellMar>
          <w:top w:w="28" w:type="dxa"/>
          <w:left w:w="28" w:type="dxa"/>
          <w:bottom w:w="28" w:type="dxa"/>
          <w:right w:w="28" w:type="dxa"/>
        </w:tblCellMar>
      </w:tblPr>
      <w:tblGrid>
        <w:gridCol w:w="124"/>
        <w:gridCol w:w="256"/>
        <w:gridCol w:w="7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 clinical testing of topical rapamycin, QRX009, in the selected indications;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pursue business development activities by seeking partnering, licensing, merger and acquisition opportunities or other transactions to further expand our pipeline and drug-development capabilities.</w:t>
            </w:r>
          </w:p>
        </w:tc>
      </w:tr>
    </w:tbl>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To date, no products have been commercialized and no revenue has been generated. We do not expect to generate revenue from product sales unless and until we successfully complete development and obtain marketing approval for one or more of our product candidates, which we expect will take a number of years and is subject to significant uncertainty. We will need to obtain further funding through public or private offerings of our capital stock, debt financing, pursuant to the exercise of warrants issued to investors in our prior public and private offerings, collaboration, strategic and/or licensing arrangements or other sources in order to complete the research and development of our product candidates and to fund our other operating requirements. However, we may be unable to raise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 funds or enter into such other arrangements when needed on favorable terms or at all. In addition, any exercise of our outstanding warrants is at the discretion of the warrant holders and is dependent, in part, upon the market price of our ADSs. There can be no assurance that any of our outstanding warrants will ever be in-the-money prior to their expiration and, as such, our outstanding warrants may expire without being exercised. Our failure to obtain additional funding or enter into such other arrangements as and when needed would have a negative impact on our financial condition and our ability to continue our operations. See “Liquidity and Capital Resources”.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Regulatory Updates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20, 2026, we filed an application for Breakthrough Medicine Designation with the Saudi Food and Drug Authority (SFDA) for QRX003 for the treatment of Netherton Syndrome. The SFDA’s Breakthrough Medicine Designation program is designed to expedite the development, review, and potential availability of medicines that address serious or life-threatening conditions with high unmet medical need and which meet SFDA eligibility requirements. If granted, the designation will allow for accelerated regulatory review and could enable earlier patient access in Saudi Arabia.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27, 2026, we filed an application for Orphan Drug Designation (ODD) with the Japanese Ministry of Health, Labour and Welfare (MHLW) for QRX003 for the treatment of Netherton Syndrome. The MHLW’s Orphan Drug Designation program provides orphan status to therapies intended for the treatment, diagnosis, or prevention of rare diseases that affect fewer than 50,000 people in Japan. This designation provides certain benefits, including R&amp;D subsidies, tax credits for qualified clinical testing, reduction of MHLW application fees, priority review and ten years of market exclusivity. On June 4, 2026, Japan’s MHLW granted the ODD designation to QRX003 for the treatment of Netherton Syndrome.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11, 2026, the FDA granted Fast Track Designations to QRX003 lotion (4%) for the treatment of Netherton Syndrome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25, 2026, we provided a clinical and regulatory update from our constructive Type C meeting with U.S. FDA for QRX003 in NS (the “March Type C Meeting Minutes”) and reported that the FDA indicated that a single Phase 3 study may be sufficient to support marketing approval in the US and expressed openness to an alternate study design for Phase 3 that would likely not include a traditional upfront vehicle or placebo control.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April 28, 2026, we provided a clinical and regulatory update for our QRX009 topical rapamycin development program announcing the planned initiation of an investigator-led clinical study in Pachyonychia Congenita led by Professor Edel O’Toole, Queen Mary University of London as well as additional investigator-led studies in Gorlin Syndrome and Tuberous Sclerosis Complex. In addition, we announced that we were targeting to submit an IND to the FDA for an additional indication in the third quarter of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June 2, 2026, we submitted our IND application for QRX003 in Peeling Skin Syndrome to the FDA and IND clearance to initiate a Phase 2 study of QRX003 in Peeling Skin Syndrome was received from the FDA on July 9,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June 16, 2026, we provided a clinical update from our ongoing pediatric Netherton Syndrome compassionate use program. Four of six patients participating in the program were classified as “improved” or “significantly improved” from baseline assessment across key clinical endpoints. All six patients are under 10 years of age, the youngest being 6 months old and treatment duration at the time of release ranged from 3 weeks to 15 months. Furthermore, no treatment-related adverse events were reported for all six patients.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June 23, 2026, we received conditional FDA approval of QYLEKI as the proposed brand name for QRX003 for Netherton Syndrome.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current operating expenses consist of two components - research and development expenses, and general and administrative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costs are expensed as incurred. Research and development expenses include personnel costs associated with research and development activities, including third-party contractors to perform research, conduct clinical trials and manufacture drug supplies and materials. We utilize outside consultants and third parties to conduct the majority of our research and development, under the supervision of our management team.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Future research and development expenses may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such as salaries, bonuses and benefits, consultant-related expenses, share-based compensation, overhead - related expenses and travel - related expenses for our research and development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under agreements with CROs, as well as consultants that support the implementation of the clinical studies described above;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and packaging costs in connection with conducting clinical trials and for stability and other studies required to support the NDA filing as well as manufacturing drug product for commercial launch;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formulation, research and development expenses related to QRX003, QRX009; and other product candidates we may choose to develop;</w:t>
            </w:r>
          </w:p>
        </w:tc>
      </w:tr>
    </w:tbl>
    <w:tbl>
      <w:tblPr>
        <w:tblW w:w="3186" w:type="dxa"/>
        <w:jc w:val="left"/>
        <w:tblInd w:w="0" w:type="dxa"/>
        <w:tblLayout w:type="fixed"/>
        <w:tblCellMar>
          <w:top w:w="28" w:type="dxa"/>
          <w:left w:w="28" w:type="dxa"/>
          <w:bottom w:w="28" w:type="dxa"/>
          <w:right w:w="28" w:type="dxa"/>
        </w:tblCellMar>
      </w:tblPr>
      <w:tblGrid>
        <w:gridCol w:w="124"/>
        <w:gridCol w:w="256"/>
        <w:gridCol w:w="2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for sponsored research; and</w:t>
            </w:r>
          </w:p>
        </w:tc>
      </w:tr>
    </w:tbl>
    <w:tbl>
      <w:tblPr>
        <w:tblW w:w="8316" w:type="dxa"/>
        <w:jc w:val="left"/>
        <w:tblInd w:w="0" w:type="dxa"/>
        <w:tblLayout w:type="fixed"/>
        <w:tblCellMar>
          <w:top w:w="28" w:type="dxa"/>
          <w:left w:w="28" w:type="dxa"/>
          <w:bottom w:w="28" w:type="dxa"/>
          <w:right w:w="28" w:type="dxa"/>
        </w:tblCellMar>
      </w:tblPr>
      <w:tblGrid>
        <w:gridCol w:w="124"/>
        <w:gridCol w:w="256"/>
        <w:gridCol w:w="7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for commercial launch preparation should one of our products receive regulatory approval.</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activities will continue to be central to our business plan.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be significant over the next several years as personnel and compensation costs increase and we conduct late-stage clinical studies and prepare to seek regulatory approval for QRX003, as we begin clinical studies for QRX009; and for any other future product candidate.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duration, costs and timing of clinical trials of QRX003, QRX009 and any other future product candidate will depend on a variety of factors that include, but are not limited to:</w:t>
      </w:r>
    </w:p>
    <w:tbl>
      <w:tblPr>
        <w:tblW w:w="3921" w:type="dxa"/>
        <w:jc w:val="left"/>
        <w:tblInd w:w="0" w:type="dxa"/>
        <w:tblLayout w:type="fixed"/>
        <w:tblCellMar>
          <w:top w:w="28" w:type="dxa"/>
          <w:left w:w="28" w:type="dxa"/>
          <w:bottom w:w="28" w:type="dxa"/>
          <w:right w:w="28" w:type="dxa"/>
        </w:tblCellMar>
      </w:tblPr>
      <w:tblGrid>
        <w:gridCol w:w="124"/>
        <w:gridCol w:w="256"/>
        <w:gridCol w:w="3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trials required for approval;</w:t>
            </w:r>
          </w:p>
        </w:tc>
      </w:tr>
    </w:tbl>
    <w:tbl>
      <w:tblPr>
        <w:tblW w:w="2586" w:type="dxa"/>
        <w:jc w:val="left"/>
        <w:tblInd w:w="0" w:type="dxa"/>
        <w:tblLayout w:type="fixed"/>
        <w:tblCellMar>
          <w:top w:w="28" w:type="dxa"/>
          <w:left w:w="28" w:type="dxa"/>
          <w:bottom w:w="28" w:type="dxa"/>
          <w:right w:w="28" w:type="dxa"/>
        </w:tblCellMar>
      </w:tblPr>
      <w:tblGrid>
        <w:gridCol w:w="124"/>
        <w:gridCol w:w="256"/>
        <w:gridCol w:w="2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 patient trial costs;</w:t>
            </w:r>
          </w:p>
        </w:tc>
      </w:tr>
    </w:tbl>
    <w:tbl>
      <w:tblPr>
        <w:tblW w:w="4641" w:type="dxa"/>
        <w:jc w:val="left"/>
        <w:tblInd w:w="0" w:type="dxa"/>
        <w:tblLayout w:type="fixed"/>
        <w:tblCellMar>
          <w:top w:w="28" w:type="dxa"/>
          <w:left w:w="28" w:type="dxa"/>
          <w:bottom w:w="28" w:type="dxa"/>
          <w:right w:w="28" w:type="dxa"/>
        </w:tblCellMar>
      </w:tblPr>
      <w:tblGrid>
        <w:gridCol w:w="124"/>
        <w:gridCol w:w="256"/>
        <w:gridCol w:w="4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patients that participate in the trials;</w:t>
            </w:r>
          </w:p>
        </w:tc>
      </w:tr>
    </w:tbl>
    <w:tbl>
      <w:tblPr>
        <w:tblW w:w="3846" w:type="dxa"/>
        <w:jc w:val="left"/>
        <w:tblInd w:w="0" w:type="dxa"/>
        <w:tblLayout w:type="fixed"/>
        <w:tblCellMar>
          <w:top w:w="28" w:type="dxa"/>
          <w:left w:w="28" w:type="dxa"/>
          <w:bottom w:w="28" w:type="dxa"/>
          <w:right w:w="28" w:type="dxa"/>
        </w:tblCellMar>
      </w:tblPr>
      <w:tblGrid>
        <w:gridCol w:w="124"/>
        <w:gridCol w:w="256"/>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sites included in the trials;</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countries in which the trials are conducted;</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 of time required to enroll eligible patients;</w:t>
            </w:r>
          </w:p>
        </w:tc>
      </w:tr>
    </w:tbl>
    <w:tbl>
      <w:tblPr>
        <w:tblW w:w="3891" w:type="dxa"/>
        <w:jc w:val="left"/>
        <w:tblInd w:w="0" w:type="dxa"/>
        <w:tblLayout w:type="fixed"/>
        <w:tblCellMar>
          <w:top w:w="28" w:type="dxa"/>
          <w:left w:w="28" w:type="dxa"/>
          <w:bottom w:w="28" w:type="dxa"/>
          <w:right w:w="28" w:type="dxa"/>
        </w:tblCellMar>
      </w:tblPr>
      <w:tblGrid>
        <w:gridCol w:w="124"/>
        <w:gridCol w:w="256"/>
        <w:gridCol w:w="3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doses that patients receive;</w:t>
            </w:r>
          </w:p>
        </w:tc>
      </w:tr>
    </w:tbl>
    <w:tbl>
      <w:tblPr>
        <w:tblW w:w="4461" w:type="dxa"/>
        <w:jc w:val="left"/>
        <w:tblInd w:w="0" w:type="dxa"/>
        <w:tblLayout w:type="fixed"/>
        <w:tblCellMar>
          <w:top w:w="28" w:type="dxa"/>
          <w:left w:w="28" w:type="dxa"/>
          <w:bottom w:w="28" w:type="dxa"/>
          <w:right w:w="28" w:type="dxa"/>
        </w:tblCellMar>
      </w:tblPr>
      <w:tblGrid>
        <w:gridCol w:w="124"/>
        <w:gridCol w:w="256"/>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drop-out or discontinuation rates of patients;</w:t>
            </w:r>
          </w:p>
        </w:tc>
      </w:tr>
    </w:tbl>
    <w:tbl>
      <w:tblPr>
        <w:tblW w:w="8001" w:type="dxa"/>
        <w:jc w:val="left"/>
        <w:tblInd w:w="0" w:type="dxa"/>
        <w:tblLayout w:type="fixed"/>
        <w:tblCellMar>
          <w:top w:w="28" w:type="dxa"/>
          <w:left w:w="28" w:type="dxa"/>
          <w:bottom w:w="28" w:type="dxa"/>
          <w:right w:w="28" w:type="dxa"/>
        </w:tblCellMar>
      </w:tblPr>
      <w:tblGrid>
        <w:gridCol w:w="124"/>
        <w:gridCol w:w="256"/>
        <w:gridCol w:w="7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additional safety monitoring or other studies requested by regulatory agencies;</w:t>
            </w:r>
          </w:p>
        </w:tc>
      </w:tr>
    </w:tbl>
    <w:tbl>
      <w:tblPr>
        <w:tblW w:w="3246" w:type="dxa"/>
        <w:jc w:val="left"/>
        <w:tblInd w:w="0" w:type="dxa"/>
        <w:tblLayout w:type="fixed"/>
        <w:tblCellMar>
          <w:top w:w="28" w:type="dxa"/>
          <w:left w:w="28" w:type="dxa"/>
          <w:bottom w:w="28" w:type="dxa"/>
          <w:right w:w="28" w:type="dxa"/>
        </w:tblCellMar>
      </w:tblPr>
      <w:tblGrid>
        <w:gridCol w:w="124"/>
        <w:gridCol w:w="256"/>
        <w:gridCol w:w="2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of patient follow-up;</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656" w:type="dxa"/>
        <w:jc w:val="left"/>
        <w:tblInd w:w="0" w:type="dxa"/>
        <w:tblLayout w:type="fixed"/>
        <w:tblCellMar>
          <w:top w:w="28" w:type="dxa"/>
          <w:left w:w="28" w:type="dxa"/>
          <w:bottom w:w="28" w:type="dxa"/>
          <w:right w:w="28" w:type="dxa"/>
        </w:tblCellMar>
      </w:tblPr>
      <w:tblGrid>
        <w:gridCol w:w="124"/>
        <w:gridCol w:w="256"/>
        <w:gridCol w:w="4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receipt of regulatory approvals; and</w:t>
            </w:r>
          </w:p>
        </w:tc>
      </w:tr>
    </w:tbl>
    <w:tbl>
      <w:tblPr>
        <w:tblW w:w="5091" w:type="dxa"/>
        <w:jc w:val="left"/>
        <w:tblInd w:w="0" w:type="dxa"/>
        <w:tblLayout w:type="fixed"/>
        <w:tblCellMar>
          <w:top w:w="28" w:type="dxa"/>
          <w:left w:w="28" w:type="dxa"/>
          <w:bottom w:w="28" w:type="dxa"/>
          <w:right w:w="28" w:type="dxa"/>
        </w:tblCellMar>
      </w:tblPr>
      <w:tblGrid>
        <w:gridCol w:w="124"/>
        <w:gridCol w:w="256"/>
        <w:gridCol w:w="4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and safety profile of our product candidates.</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primarily of compensation and employee - related expenses including non-cash stock-based compensation, professional fees and other corporate expenses. We anticipate that our general and administrative expenses will increase in the future to support our continued research and development activities. These increases will likely include compensation and employee-related expenses including stock-based compensation, increased costs related to the potential hiring of personnel, travel costs and fees to outside consultants, lawyers and accountants.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 Expenses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expenses (income) consist primarily of interest income and unrealized loss (gain) on investments.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 – Three months ended June 30, 2026 compared to the three months ended June 30, 2025</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sets forth our results of operations for the three months ended June 30, 2026, compared to the three months ended June 30, 2025:</w:t>
      </w:r>
    </w:p>
    <w:p>
      <w:pPr>
        <w:pStyle w:val="TextBody"/>
        <w:bidi w:val="0"/>
        <w:spacing w:before="0" w:after="0"/>
        <w:ind w:left="0" w:right="0" w:hanging="0"/>
        <w:jc w:val="both"/>
        <w:rPr/>
      </w:pPr>
      <w:r>
        <w:rPr/>
        <w:t>​</w:t>
      </w:r>
    </w:p>
    <w:tbl>
      <w:tblPr>
        <w:tblW w:w="8020" w:type="dxa"/>
        <w:jc w:val="left"/>
        <w:tblInd w:w="0" w:type="dxa"/>
        <w:tblLayout w:type="fixed"/>
        <w:tblCellMar>
          <w:top w:w="0" w:type="dxa"/>
          <w:left w:w="0" w:type="dxa"/>
          <w:bottom w:w="0" w:type="dxa"/>
          <w:right w:w="0" w:type="dxa"/>
        </w:tblCellMar>
      </w:tblPr>
      <w:tblGrid>
        <w:gridCol w:w="3151"/>
        <w:gridCol w:w="346"/>
        <w:gridCol w:w="211"/>
        <w:gridCol w:w="1051"/>
        <w:gridCol w:w="346"/>
        <w:gridCol w:w="211"/>
        <w:gridCol w:w="1051"/>
        <w:gridCol w:w="346"/>
        <w:gridCol w:w="211"/>
        <w:gridCol w:w="1096"/>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00885" cy="175260"/>
                      <wp:effectExtent l="0" t="0" r="0" b="0"/>
                      <wp:wrapNone/>
                      <wp:docPr id="151" name="Frame151"/>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67385" cy="175260"/>
                      <wp:effectExtent l="0" t="0" r="0" b="0"/>
                      <wp:wrapNone/>
                      <wp:docPr id="154" name="Frame15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6"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67385" cy="175260"/>
                      <wp:effectExtent l="0" t="0" r="0" b="0"/>
                      <wp:wrapNone/>
                      <wp:docPr id="157" name="Frame15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8"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95960" cy="175260"/>
                      <wp:effectExtent l="0" t="0" r="0" b="0"/>
                      <wp:wrapNone/>
                      <wp:docPr id="160" name="Frame160"/>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pPr>
            <w:r>
              <w:rPr/>
              <w:t>​</w:t>
            </w:r>
          </w:p>
        </w:tc>
      </w:tr>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  ​</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1,846,406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1,742,594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103,812</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3,627,168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2,050,585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1,576,583</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5,473,574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3,793,179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1,680,395</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(income) and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(7,589)</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Realized and accrued 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2,298</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(102,532)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(97,241)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(5,291)</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(5,371,042)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(3,695,938)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(1,675,104)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were approximately $1,846,000 and $1,743,000, in the three months ended June 30, 2026 and 2025, respectively, representing an increase of $103,000, or approximately 5.9%. The increase was primarily due to an increase of $16,000 in commercial expenses, $32,000 in payroll and benefits, $64,000 in consulting costs, $50,000 in legal and professional fees and $17,000 in non-cash stock-based compensation expense offset by a decrease of $58,000 in board of director fees as a result of the grant of options in lieu of cash compensation for which the expense is recognized over the vesting period of the options, $10,000 in costs associated with being a public company.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research and development expenses during the three months ended June 30, 2026 and 2025 were approximately $3,627,000 and $2,051,000, respectively, representing an increase of $1,576,000, or approximately 76.8%. The increase was primarily due to $1,045,000 in increased external expenditures on our development programs, including work related to the clinical studies for the development of QRX003 and QRX009, an increase of payroll and benefits of $337,000 and $194,000 of non-cash stock-based compensation expense.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amortize licensed or acquired intellectual property over its expected useful life, included in research and development expenses set out above. Amortization of intangible assets was approximately $25,000 and $25,000 in each of the three month periods ended June 30, 2026 and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had approximately $2,000 in unrealized gain and $101,000 in realized and accrued interest income in the three months ended June 30, 2026 from our cash and cash equivalents and investments in marketable debt securities. We had approximately $6,000 in unrealized loss and $103,000 in realized and accrued interest income in the three months ended June 30, 2025 from our cash and cash equivalents and investments in marketable debt securities.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 – Six months ended June 30, 2026 compared to the six months ended June 30,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our results of operations for the six months ended June 30, 2026, compared to the six months ended June 30, 2025:</w:t>
      </w:r>
    </w:p>
    <w:tbl>
      <w:tblPr>
        <w:tblW w:w="8125" w:type="dxa"/>
        <w:jc w:val="left"/>
        <w:tblInd w:w="0" w:type="dxa"/>
        <w:tblLayout w:type="fixed"/>
        <w:tblCellMar>
          <w:top w:w="0" w:type="dxa"/>
          <w:left w:w="0" w:type="dxa"/>
          <w:bottom w:w="0" w:type="dxa"/>
          <w:right w:w="0" w:type="dxa"/>
        </w:tblCellMar>
      </w:tblPr>
      <w:tblGrid>
        <w:gridCol w:w="3151"/>
        <w:gridCol w:w="346"/>
        <w:gridCol w:w="211"/>
        <w:gridCol w:w="1156"/>
        <w:gridCol w:w="346"/>
        <w:gridCol w:w="211"/>
        <w:gridCol w:w="1051"/>
        <w:gridCol w:w="346"/>
        <w:gridCol w:w="211"/>
        <w:gridCol w:w="1096"/>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00885" cy="175260"/>
                      <wp:effectExtent l="0" t="0" r="0" b="0"/>
                      <wp:wrapNone/>
                      <wp:docPr id="161" name="Frame161"/>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734060" cy="175260"/>
                      <wp:effectExtent l="0" t="0" r="0" b="0"/>
                      <wp:wrapNone/>
                      <wp:docPr id="164" name="Frame164"/>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5"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67385" cy="175260"/>
                      <wp:effectExtent l="0" t="0" r="0" b="0"/>
                      <wp:wrapNone/>
                      <wp:docPr id="167" name="Frame16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95960" cy="175260"/>
                      <wp:effectExtent l="0" t="0" r="0" b="0"/>
                      <wp:wrapNone/>
                      <wp:docPr id="170" name="Frame170"/>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9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r>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1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  ​</w:t>
            </w:r>
          </w:p>
        </w:tc>
      </w:tr>
      <w:tr>
        <w:trPr/>
        <w:tc>
          <w:tcPr>
            <w:tcW w:w="31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3,543,854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3,325,632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218,222</w:t>
            </w:r>
          </w:p>
        </w:tc>
      </w:tr>
      <w:tr>
        <w:trPr/>
        <w:tc>
          <w:tcPr>
            <w:tcW w:w="31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7,060,930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4,424,724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2,636,206</w:t>
            </w:r>
          </w:p>
        </w:tc>
      </w:tr>
      <w:tr>
        <w:trPr/>
        <w:tc>
          <w:tcPr>
            <w:tcW w:w="31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10,604,784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7,750,356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2,854,428</w:t>
            </w:r>
          </w:p>
        </w:tc>
      </w:tr>
      <w:tr>
        <w:trPr/>
        <w:tc>
          <w:tcPr>
            <w:tcW w:w="31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(income) and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  ​</w:t>
            </w:r>
          </w:p>
        </w:tc>
      </w:tr>
      <w:tr>
        <w:trPr/>
        <w:tc>
          <w:tcPr>
            <w:tcW w:w="31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5,837</w:t>
            </w:r>
          </w:p>
        </w:tc>
      </w:tr>
      <w:tr>
        <w:trPr/>
        <w:tc>
          <w:tcPr>
            <w:tcW w:w="31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Realized and accrued 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(247,722)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(248,117)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r>
      <w:tr>
        <w:trPr/>
        <w:tc>
          <w:tcPr>
            <w:tcW w:w="31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(236,007)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(242,239)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6,232</w:t>
            </w:r>
          </w:p>
        </w:tc>
      </w:tr>
      <w:tr>
        <w:trPr/>
        <w:tc>
          <w:tcPr>
            <w:tcW w:w="31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(10,368,777)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(7,508,117)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(2,860,660)</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were approximately $3,544,000 and $3,326,000, in the six months ended June 30, 2026 and 2025, respectively, representing an increase of $218,000, or approximately 6.6%. The increase was primarily due to an increase of $88,000 in commercial expenses, $102,000, in payroll and benefits, $38,000 in legal and professional fees and $132,000 in consulting costs offset by a decrease of $115,000 in board of director fees as a result of the grant of options in lieu of cash compensation for which the expense is recognized over the vesting period of the options, $11,000 in travel costs and $13,000 in insurance costs.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research and development expenses during the six months ended June 30, 2026 and 2025 were approximately $7,061,000 and $4,425,000, respectively, representing an increase of $2,636,000, or approximately 59.6%. The increase was primarily due to $1,852,000 in increased external expenditures on our development programs, including work related to the clinical studies for the development of QRX003 and QRX009, an increase of payroll and benefits of $489,000 and $296,000 of non-cash stock-based compensation expense.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amortize licensed or acquired intellectual property over its expected useful life, included in research and development expenses set out above. Amortization of intangible assets was approximately $50,000 and $50,000 in each of the six month periods ended June 30, 2026 and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had approximately $12,000 in unrealized loss and $248,000 in realized and accrued interest income in the six months ended June 30, 2026 from our cash and cash equivalents and investments in marketable debt securities. We had approximately $6,000 in unrealized loss and $248,000 in realized and accrued interest income in the six months ended June 30, 2025 from our cash and cash equivalents and investments in marketable debt securities.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We have incurred net losses every year since inception and had an accumulated deficit of approximately $81.3 million at June 30, 2026. We have a limited operating history and have historically funded our operations through our founders’ funding expenditures and debt and equity financings. We incurred net losses of approximately $10.4 million and negative cash flows from operations of $8.0 million for the six months ended June 30, 2026. At June 30, 2026, we had cash and cash equivalent balances totaling $3.8 million and investments of $7.0 million. Our net losses may fluctuate significantly from quarter-to-quarter and year-to-year, depending on the timing of planned clinical trials and our expenditures on other research and development activities. Based upon our current business plans and cash, cash equivalents and investments on hand, we have concluded that there is substantial doubt about our ability to continue as a going concern for a period of at least one year from the date of the filing of this Quarterly Report on Form 10-Q. In order to address our capital needs, we intend to consider multiple alternatives, including, but not limited to, the sale of additional equity or debt securities or other debt instruments, collaborative, strategic and/or licensing relationships or grants to support our future operations. We do not expect to generate revenue from product sales unless and until we successfully complete development and obtain marketing approval for one or more of our product candidates, which we expect will take a number of years and is subject to significant uncertainty. However, we may be unable to raise additional funds or enter into such other arrangements when needed on favorable terms or at all. In addition, any exercise of our outstanding warrants is at the discretion of the warrant holders and is dependent, in part, upon the market price of our ADSs. There can be no assurance that any of our outstanding warrants will ever be in-the-money prior to their expiration and, as such, our outstanding warrants may expire without being exercised. If we are unable to improve our liquidity position, we may not be able to continue as a going concern. We continue to seek sources of financing to fund our continued operations and research and development programs. If we are unable to obtain additional funding when it becomes necessary, the development of our product candidates will be impacted and we would likely be forced to delay, reduce, or terminate some or all of our development programs or cease operations altogether, all of which could have a material adverse effect on our business, results of operations and financial condition.</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Future Funding Requirements</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We will need to obtain further funding through public or private offerings of our capital stock, debt financing, pursuant to the exercise of warrants issued to investors in our prior public and private offerings, collaboration, strategic and/or licensing arrangements or other sources, the requirements for which will depend on many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timing, rate of progress and costs of our drug development efforts, pre-clinical development activities, the timing of laboratory testing and clinical trials for our product candidates;</w:t>
            </w:r>
          </w:p>
        </w:tc>
      </w:tr>
    </w:tbl>
    <w:tbl>
      <w:tblPr>
        <w:tblW w:w="5676" w:type="dxa"/>
        <w:jc w:val="left"/>
        <w:tblInd w:w="0" w:type="dxa"/>
        <w:tblLayout w:type="fixed"/>
        <w:tblCellMar>
          <w:top w:w="28" w:type="dxa"/>
          <w:left w:w="28" w:type="dxa"/>
          <w:bottom w:w="28" w:type="dxa"/>
          <w:right w:w="28" w:type="dxa"/>
        </w:tblCellMar>
      </w:tblPr>
      <w:tblGrid>
        <w:gridCol w:w="124"/>
        <w:gridCol w:w="256"/>
        <w:gridCol w:w="5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scope of clinical programs we decide to pursue;</w:t>
            </w:r>
          </w:p>
        </w:tc>
      </w:tr>
    </w:tbl>
    <w:tbl>
      <w:tblPr>
        <w:tblW w:w="9171" w:type="dxa"/>
        <w:jc w:val="left"/>
        <w:tblInd w:w="0" w:type="dxa"/>
        <w:tblLayout w:type="fixed"/>
        <w:tblCellMar>
          <w:top w:w="28" w:type="dxa"/>
          <w:left w:w="28" w:type="dxa"/>
          <w:bottom w:w="28" w:type="dxa"/>
          <w:right w:w="28" w:type="dxa"/>
        </w:tblCellMar>
      </w:tblPr>
      <w:tblGrid>
        <w:gridCol w:w="124"/>
        <w:gridCol w:w="256"/>
        <w:gridCol w:w="8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timing and outcome of preparing for and undergoing regulatory review of our product candidates;</w:t>
            </w:r>
          </w:p>
        </w:tc>
      </w:tr>
    </w:tbl>
    <w:tbl>
      <w:tblPr>
        <w:tblW w:w="6831" w:type="dxa"/>
        <w:jc w:val="left"/>
        <w:tblInd w:w="0" w:type="dxa"/>
        <w:tblLayout w:type="fixed"/>
        <w:tblCellMar>
          <w:top w:w="28" w:type="dxa"/>
          <w:left w:w="28" w:type="dxa"/>
          <w:bottom w:w="28" w:type="dxa"/>
          <w:right w:w="28" w:type="dxa"/>
        </w:tblCellMar>
      </w:tblPr>
      <w:tblGrid>
        <w:gridCol w:w="124"/>
        <w:gridCol w:w="256"/>
        <w:gridCol w:w="6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and costs of development and commercial manufacturing activities;</w:t>
            </w:r>
          </w:p>
        </w:tc>
      </w:tr>
    </w:tbl>
    <w:tbl>
      <w:tblPr>
        <w:tblW w:w="9636" w:type="dxa"/>
        <w:jc w:val="left"/>
        <w:tblInd w:w="0" w:type="dxa"/>
        <w:tblLayout w:type="fixed"/>
        <w:tblCellMar>
          <w:top w:w="28" w:type="dxa"/>
          <w:left w:w="28" w:type="dxa"/>
          <w:bottom w:w="28" w:type="dxa"/>
          <w:right w:w="28" w:type="dxa"/>
        </w:tblCellMar>
      </w:tblPr>
      <w:tblGrid>
        <w:gridCol w:w="124"/>
        <w:gridCol w:w="256"/>
        <w:gridCol w:w="9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timing associated with commercializing our product candidates, if they receive marketing approval;</w:t>
            </w:r>
          </w:p>
        </w:tc>
      </w:tr>
    </w:tbl>
    <w:tbl>
      <w:tblPr>
        <w:tblW w:w="7611" w:type="dxa"/>
        <w:jc w:val="left"/>
        <w:tblInd w:w="0" w:type="dxa"/>
        <w:tblLayout w:type="fixed"/>
        <w:tblCellMar>
          <w:top w:w="28" w:type="dxa"/>
          <w:left w:w="28" w:type="dxa"/>
          <w:bottom w:w="28" w:type="dxa"/>
          <w:right w:w="28" w:type="dxa"/>
        </w:tblCellMar>
      </w:tblPr>
      <w:tblGrid>
        <w:gridCol w:w="124"/>
        <w:gridCol w:w="256"/>
        <w:gridCol w:w="7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acquire or in-license other product candidates and technologies;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preparing, filing and prosecuting patent applications, maintaining and enforcing our intellectual property rights and defending intellectual property-related claims;</w:t>
            </w:r>
          </w:p>
        </w:tc>
      </w:tr>
    </w:tbl>
    <w:tbl>
      <w:tblPr>
        <w:tblW w:w="6951" w:type="dxa"/>
        <w:jc w:val="left"/>
        <w:tblInd w:w="0" w:type="dxa"/>
        <w:tblLayout w:type="fixed"/>
        <w:tblCellMar>
          <w:top w:w="28" w:type="dxa"/>
          <w:left w:w="28" w:type="dxa"/>
          <w:bottom w:w="28" w:type="dxa"/>
          <w:right w:w="28" w:type="dxa"/>
        </w:tblCellMar>
      </w:tblPr>
      <w:tblGrid>
        <w:gridCol w:w="124"/>
        <w:gridCol w:w="256"/>
        <w:gridCol w:w="6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collaborations on favorable terms, if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efforts to enhance operational systems and our ability to attract, hire and retain qualified personnel, including personnel to support the development of our product candidates and, ultimately, the sale of our products, following FDA approval;</w:t>
            </w:r>
          </w:p>
        </w:tc>
      </w:tr>
    </w:tbl>
    <w:tbl>
      <w:tblPr>
        <w:tblW w:w="6291" w:type="dxa"/>
        <w:jc w:val="left"/>
        <w:tblInd w:w="0" w:type="dxa"/>
        <w:tblLayout w:type="fixed"/>
        <w:tblCellMar>
          <w:top w:w="28" w:type="dxa"/>
          <w:left w:w="28" w:type="dxa"/>
          <w:bottom w:w="28" w:type="dxa"/>
          <w:right w:w="28" w:type="dxa"/>
        </w:tblCellMar>
      </w:tblPr>
      <w:tblGrid>
        <w:gridCol w:w="124"/>
        <w:gridCol w:w="25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implementation of operational, financial and management systems;</w:t>
            </w:r>
          </w:p>
        </w:tc>
      </w:tr>
    </w:tbl>
    <w:tbl>
      <w:tblPr>
        <w:tblW w:w="3261" w:type="dxa"/>
        <w:jc w:val="left"/>
        <w:tblInd w:w="0" w:type="dxa"/>
        <w:tblLayout w:type="fixed"/>
        <w:tblCellMar>
          <w:top w:w="28" w:type="dxa"/>
          <w:left w:w="28" w:type="dxa"/>
          <w:bottom w:w="28" w:type="dxa"/>
          <w:right w:w="28" w:type="dxa"/>
        </w:tblCellMar>
      </w:tblPr>
      <w:tblGrid>
        <w:gridCol w:w="124"/>
        <w:gridCol w:w="256"/>
        <w:gridCol w:w="2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ADSs; and</w:t>
            </w:r>
          </w:p>
        </w:tc>
      </w:tr>
    </w:tbl>
    <w:tbl>
      <w:tblPr>
        <w:tblW w:w="4581" w:type="dxa"/>
        <w:jc w:val="left"/>
        <w:tblInd w:w="0" w:type="dxa"/>
        <w:tblLayout w:type="fixed"/>
        <w:tblCellMar>
          <w:top w:w="28" w:type="dxa"/>
          <w:left w:w="28" w:type="dxa"/>
          <w:bottom w:w="28" w:type="dxa"/>
          <w:right w:w="28" w:type="dxa"/>
        </w:tblCellMar>
      </w:tblPr>
      <w:tblGrid>
        <w:gridCol w:w="124"/>
        <w:gridCol w:w="256"/>
        <w:gridCol w:w="4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associated with being a public company.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Adequate additional funding may not be available to us on acceptable terms, or at all. In addition, the right of participation in certain subsequent financings, which was granted to the purchasers in our October 2025 private placement, may limit our ability to raise capital. If we are unable to raise capital in sufficient amounts or on terms acceptable to us, we may have to significantly delay, scale back or discontinue the development or commercialization of QRX003 and QRX009, any future product candidate, or potentially discontinue operations.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To the extent that we raise additional capital through the sale of our equity or convertible debt securities, and pursuant to the exercise of the warrants issued to the investors in our prior public and private offerings, the ownership interest of our equity holders will be diluted, and the terms of these securities may include liquidation or other preferences that adversely affect the rights of our equity holders. Debt financing and preferred equity financing, if available, may involve agreements that include covenants limiting or restricting our ability to take specific actions, such as incurring additional debt, making capital expenditures or declaring dividends.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If we raise additional funds through collaborations, strategic alliances or marketing, distribution or licensing arrangements with third parties, we may be required to relinquish valuable rights to our technologies, future revenue streams, research programs or proposed products, or to grant licenses on terms that may not be favorable to us. If we are unable to raise additional funds when needed, we may be required to delay, limit, reduce or terminate our drug development or future commercialization efforts or grant rights to develop and market any future product that we would otherwise prefer to develop and market ourselves.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Summary Statement of Cash Flows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we had approximately $10,800,000 in cash and cash equivalents and investments in marketable securities. The table below presents our cash flows for the six month periods ended June 30, 2026 and 2025:</w:t>
      </w:r>
    </w:p>
    <w:p>
      <w:pPr>
        <w:pStyle w:val="TextBody"/>
        <w:bidi w:val="0"/>
        <w:spacing w:before="0" w:after="0"/>
        <w:ind w:left="0" w:right="0" w:hanging="0"/>
        <w:jc w:val="left"/>
        <w:rPr/>
      </w:pPr>
      <w:r>
        <w:rPr/>
        <w:t>​</w:t>
      </w:r>
    </w:p>
    <w:tbl>
      <w:tblPr>
        <w:tblW w:w="6922" w:type="dxa"/>
        <w:jc w:val="left"/>
        <w:tblInd w:w="0" w:type="dxa"/>
        <w:tblLayout w:type="fixed"/>
        <w:tblCellMar>
          <w:top w:w="0" w:type="dxa"/>
          <w:left w:w="0" w:type="dxa"/>
          <w:bottom w:w="0" w:type="dxa"/>
          <w:right w:w="0" w:type="dxa"/>
        </w:tblCellMar>
      </w:tblPr>
      <w:tblGrid>
        <w:gridCol w:w="3661"/>
        <w:gridCol w:w="346"/>
        <w:gridCol w:w="211"/>
        <w:gridCol w:w="1051"/>
        <w:gridCol w:w="346"/>
        <w:gridCol w:w="211"/>
        <w:gridCol w:w="1096"/>
      </w:tblGrid>
      <w:tr>
        <w:trP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324735" cy="175260"/>
                      <wp:effectExtent l="0" t="0" r="0" b="0"/>
                      <wp:wrapNone/>
                      <wp:docPr id="171" name="Frame171"/>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985" cy="175260"/>
                      <wp:effectExtent l="0" t="0" r="0" b="0"/>
                      <wp:wrapNone/>
                      <wp:docPr id="173"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67385" cy="175260"/>
                      <wp:effectExtent l="0" t="0" r="0" b="0"/>
                      <wp:wrapNone/>
                      <wp:docPr id="174" name="Frame17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6"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95960" cy="175260"/>
                      <wp:effectExtent l="0" t="0" r="0" b="0"/>
                      <wp:wrapNone/>
                      <wp:docPr id="177" name="Frame17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(8,013,263)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(6,280,510)</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8,136,707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4,452,701</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(127,042)</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fluctuations on cash</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(1,954,851)</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Net cash used in operating activities was approximately $8,013,000 and $6,281,000 in the six months ended June 30, 2026 and 2025, respectively. The increase in 2026 was mostly due to an increase in net loss, offset by an increase in stock-based compensation, and an increase in accounts payable and accrued expenses.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Net cash provided by investment activities was approximately $8,137,000 and $4,453,000 in the six months ended June 30, 2026 and 2025, respectively. The cash provided in investing activities for the six months ended June 30, 2026 consisted of net sales of US Treasury Bills and Notes. The cash provided in investing activities for the six months ended June 30, 2025 consisted of net sales of US Treasury Bills and Notes.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Net cash used in financing activities was approximately $96,000 for the six months ended June 30, 2026, which included the repayments of amounts due to officers of $300,000, partially offset by the receipt of approximately $204,000 in net proceeds from the exercise of warrants. Net cash used by financing activities was approximately $127,000 for the six months ended June 30, 2025, which included the repayments of amounts due to officers of $300,000, partially offset by the receipt of approximately $173,000 in net proceeds from the exercise of warrants.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Research and Development Commitments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October 2019, we, through our subsidiary Quoin Inc., entered into the Licensing Agreement with Skinvisible, under which Skinvisible granted us an exclusive royalty-bearing license relating to the production and manufacture of prescription drug products related to certain patents held by Skinvisible, including those related to QRX003 and QRX004. We made Skinvisible a one-time non-refundable, non-creditable license fee of $1 million (the “License Fee”). In addition, we agreed to pay Skinvisible a single digit royalty percentage of our net sales revenues for any licensed product covered by the patent rights licensed under the License Agreement. We also agreed to pay Skinvisible 25% of any revenues we receive as royalties in the event that we sublicense any licensed products to a third party. The License Agreement also requires that we make a $5 million payment to Skinvisible upon receiving approval in the U.S. or European Union, whichever occurs first, for the first drug product developed using intellectual property licensed thereunder.</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November 2020, we, through our subsidiary Quoin Inc., entered into a Master Service Agreement with Therapeutics Inc. for the management of the pre-clinical and clinical development of QRX003 for Netherton Syndrome. The initial term of the agreement was three years with automatic one-year extensions, and the agreement required the execution of individual work orders. We may terminate any work order for any reason with 90 days written notice subject to costs incurred through termination and a defined termination fee, unless there is a material breach by Therapeutics Inc. A work order was entered into in June 2022 for the first QRX003 clinical study at an expected estimated cost of approximately $4.4 million through 2024. An additional change order was entered into in December 2022 for a second QRX003 clinical study at an expected estimated cost of approximately $830,000. An amended and restated change order for the two studies was entered into in December 2024 at an estimated total remaining cost from August 2024 of approximately $3.6 million for the two studies combined. A further amended and restated change order for the additional studies initiated and planned for 2026 was entered into in July 2026 for an expected costs of approximately $3 million. For the three and six months ended June 30, 2026 and 2025, we incurred research and development expenses under these agreements of approximately $303,000 and $1.4 million and $348,000 and $759,000 respectively. During the three months ended June 30, 2026, the Company received a credit of approximately $377,000 applied to prior expenses incurred during the period of November 2025 to March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November 2021, we entered into a research agreement with Queensland University of Technology (QUT) for a pre-clinical research program for the development of a product to treat Netherton Syndrome of approximately $250,000. In May 2022, we entered into a second research agreement with QUT for the development of a product to treat Scleroderma of approximately $610,000. Each agreement remains in place until the completion of the research program, which in each case was initially anticipated to be 18 months from execution. For the three and six months ended June 30, 2026 and 2025, we incurred no research and development costs related to these agreements. In July 2025 we announced that, in light of the expected near-term completion of the QRX003 clinical program for Netherton Syndrome, we have discontinued the Netherton Syndrome research program with QUT. We are planning to schedule a meeting with QUT to discuss the future direction of the Scleroderma research program.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June 10, 2024, we entered into a research agreement with The School of Pharmacy at UCC. The scope of the agreement encompasses the development of novel topical formulations of Rapamycin (sirolimus) as potential treatments for a number of rare and orphan diseases for which there are currently very limited or no approved therapies or cures. Under the terms of the agreement, based on the achievement of certain milestones, we will fund up to approximately €567,000 ($655,000) plus VAT over an anticipated 2-1/2 year period to support the UCC research program to investigate the development of a number of topical rapamycin formulations for future development as potential treatments for several rare and orphan diseases. Following completion of the research program, we will have the option to advance the clinical development of rapamycin formulations developed by UCC. Work on this research project commenced in December 2024. For the three and six months ended June 30, 2026 and 2025, we incurred research and development expenses under these agreements of approximately $0 and $0 and $60,000 and $120,000 respectively.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February 2026, we, through our subsidiary Quoin Inc., signed a research agreement with Evestia Clinical Limited for the management of the UK and European clinical development of QRX003 for Netherton Syndrome. The initial term of the agreement is five years and the agreement requires the execution of individual work orders. We may terminate any work order for any reason with 30 days written notice subject to costs incurred through termination and a defined termination fee, unless there is a material breach by Evestia Clinical Limited. A work order was entered into in March 2026 for the first QRX003 UK and European clinical study at an expected estimated cost of approximately $800,000. For the three and six months ended June 30, 2026, we incurred research and development expenses under this agreement of approximately $280,000 and $344,000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April 2026, we, through our subsidiary Quoin Inc., signed a research agreement with Sapro Consulting Pty Limited for the management of a pharmacokinetic study of QRX009. We may terminate the agreement for any reason with 30 days written notice subject to costs incurred through termination unless there is a material breach by Sapro Consulting Pty Limited. The agreement covers an expected estimated cost of approximately AUD$1.8 million ($1.3 million). For the three and six months ended June 30, 2026, we incurred research and development expenses under this agreement of approximately $91,000 respectively.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Critical Accounting Estimates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have been no material changes to our critical accounting estimates from the information provided in Item 7, “Management’s Discussion and Analysis of Financial Condition and Results of Operations,” included in our Annual Report on Form 10-K for the year ended December 31, 2025.</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729" w:name="Item3QuantitativeandQualitativeDisclosur"/>
      <w:bookmarkStart w:id="730" w:name="_0c6ec0fd_dff1_440b_87d1_654965533e33"/>
      <w:bookmarkEnd w:id="729"/>
      <w:bookmarkEnd w:id="730"/>
      <w:r>
        <w:rPr>
          <w:rFonts w:ascii="Times New Roman;Times;serif" w:hAnsi="Times New Roman;Times;serif"/>
          <w:b/>
          <w:sz w:val="20"/>
        </w:rPr>
        <w:t>Item 3. Quantitative and Qualitative Disclosures About Market Risk.</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a smaller reporting company as defined in Rule 12b-2 of the Securities Exchange Act of 1934, as amended (the “Exchange Act”) and are not required to provide the information otherwise required under this Item 3.</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31" w:name="Item4ControlsandProcedures_599797"/>
      <w:bookmarkStart w:id="732" w:name="_6a468730_b80c_419a_9e9f_6f425dbf50aa"/>
      <w:bookmarkEnd w:id="731"/>
      <w:bookmarkEnd w:id="732"/>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maintain disclosure controls and procedures, which are designed to provide reasonable assurance that information required to be disclosed in the reports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 Our management, with the participation of our Chief Executive Officer and Chief Financial Officer, conducted an evaluation, as of the end of the period covered by this report, of the effectiveness of our disclosure controls and procedures (as defined in Rules 13a-15e under the Exchange Act). Based on that evaluation, our Chief Executive Officer and Chief Financial Officer have concluded that, as of the end of the period covered by this report, our disclosure controls and procedures were effective at the reasonable assurance level.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Rules 13a-15(f) under the Exchange Act) that occurred during the quarter ended June 30, 2026 that materially affected, or is reasonably likely to materially affect, our internal control over financial reporting.</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Limitations on the Effectiveness of Controls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Control systems, no matter how well-conceived and operated, are designed to provide a reasonable, but not an absolute, level of assurance that the objectives of the control system are met. Furthermore,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resulting from error or fraud may occur and not be detected. The Company conducts periodic evaluations of its internal controls to enhance, where necessary, its procedures and controls.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33" w:name="PARTIIOTHERINFORMATION_489666"/>
      <w:bookmarkStart w:id="734" w:name="_6eee78ab_7682_4d56_ba6d_e03cc2865344"/>
      <w:bookmarkEnd w:id="733"/>
      <w:bookmarkEnd w:id="734"/>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735" w:name="Item1LegalProceedings_833976"/>
      <w:bookmarkEnd w:id="735"/>
      <w:r>
        <w:rPr>
          <w:rFonts w:ascii="Times New Roman;Times;serif" w:hAnsi="Times New Roman;Times;serif"/>
          <w:b/>
          <w:sz w:val="20"/>
        </w:rPr>
        <w:t>Item 1. Legal Proceedings.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From time to time, we may become involved in legal or administrative proceedings or be subject to claims arising in the ordinary course of our business. We are currently not a party to any material legal or administrative proceedings, and we are not aware of any pending or threatened material legal or administrative proceedings against us.</w:t>
      </w:r>
    </w:p>
    <w:p>
      <w:pPr>
        <w:pStyle w:val="TextBody"/>
        <w:bidi w:val="0"/>
        <w:spacing w:before="0" w:after="240"/>
        <w:ind w:left="0" w:right="0" w:hanging="0"/>
        <w:jc w:val="left"/>
        <w:rPr>
          <w:rFonts w:ascii="Times New Roman;Times;serif" w:hAnsi="Times New Roman;Times;serif"/>
          <w:b/>
          <w:sz w:val="20"/>
        </w:rPr>
      </w:pPr>
      <w:bookmarkStart w:id="736" w:name="Item1ARiskFactors_108175"/>
      <w:bookmarkStart w:id="737" w:name="_d98fd1ce_aa2b_423b_9f54_8e57f828523f"/>
      <w:bookmarkEnd w:id="736"/>
      <w:bookmarkEnd w:id="737"/>
      <w:r>
        <w:rPr>
          <w:rFonts w:ascii="Times New Roman;Times;serif" w:hAnsi="Times New Roman;Times;serif"/>
          <w:b/>
          <w:sz w:val="20"/>
        </w:rPr>
        <w:t>Item 1A. Risk Factors.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Except as set forth below, there have been no material changes in our risk factors from the risks previously reported in Part 1, Item 1A, “Risk Factors” of our Form 10-K. You should carefully consider the factors discussed in our Form 10-K, which could materially affect our business, financial condition or future results. The risks described in our Form 10-K are not the only risks we face. Additional risks and uncertainties not currently known to us or that we currently deem to be immaterial also may materially adversely affect our business, financial condition and/or operating results. We may disclose changes to such factors or disclose additional factors from time to time in our future filings with the SEC.</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We must raise additional capital to fund our operations in order to continue as a going concern.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June 30, 2026, we had an accumulated deficit of $81.3 million, cash and cash equivalents balances totaling $3.8 million and investments of $7.0 million. Despite our financing in October 2025, based upon our current business plans and cash, cash equivalents and investments on hand, we have concluded that there is substantial doubt about our ability to continue as a going concern for a period of at least one year from the date of the filing of this Quarterly Report on Form 10-Q. We will need to raise further capital through the sale of additional equity or debt securities or other debt instruments, strategic relationships or grants, or other arrangements to support our future operations. There can be no assurance that we will be successful in accomplishing these objectives. We do not expect to generate revenue from product sales unless and until we successfully complete development and obtain marketing approval for one or more of our product candidates, which we expect will take a number of years and is subject to significant uncertainty. If we are unable to improve our liquidity position, we may not be able to continue as a going concern. Our ability to continue as a going concern is dependent upon our ability to generate revenue and raise capital from financing transactions. Without such additional capital, we may be required to curtail or cease operations and be required to realize our assets and discharge our liabilities other than in the normal course of business which could cause investors to suffer the loss of all or a substantial portion of their investment.</w:t>
      </w:r>
    </w:p>
    <w:p>
      <w:pPr>
        <w:pStyle w:val="TextBody"/>
        <w:bidi w:val="0"/>
        <w:spacing w:before="0" w:after="240"/>
        <w:ind w:left="0" w:right="0" w:hanging="0"/>
        <w:jc w:val="left"/>
        <w:rPr>
          <w:rFonts w:ascii="Times New Roman;Times;serif" w:hAnsi="Times New Roman;Times;serif"/>
          <w:b/>
          <w:sz w:val="20"/>
        </w:rPr>
      </w:pPr>
      <w:bookmarkStart w:id="738" w:name="Item2UnregisteredSalesofEquitySecurities"/>
      <w:bookmarkStart w:id="739" w:name="_33896513_27bc_475f_8952_7d6e22d1816c"/>
      <w:bookmarkEnd w:id="738"/>
      <w:bookmarkEnd w:id="739"/>
      <w:r>
        <w:rPr>
          <w:rFonts w:ascii="Times New Roman;Times;serif" w:hAnsi="Times New Roman;Times;serif"/>
          <w:b/>
          <w:sz w:val="20"/>
        </w:rPr>
        <w:t>Item 2. Unregistered Sales of Equity Securities and Use of Proceeds.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740" w:name="Item3DefaultsUponSeniorSecurities_447659"/>
      <w:bookmarkStart w:id="741" w:name="_85d5f66f_72c2_42e9_971e_b43aa54a9a8e"/>
      <w:bookmarkEnd w:id="740"/>
      <w:bookmarkEnd w:id="741"/>
      <w:r>
        <w:rPr>
          <w:rFonts w:ascii="Times New Roman;Times;serif" w:hAnsi="Times New Roman;Times;serif"/>
          <w:b/>
          <w:sz w:val="20"/>
        </w:rPr>
        <w:t>Item 3. Defaults Upon Senior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742" w:name="Item4MineSafetyDisclosures_70456"/>
      <w:bookmarkStart w:id="743" w:name="_dc2fb5c7_f428_44e9_a23b_ed9c3427f533"/>
      <w:bookmarkEnd w:id="742"/>
      <w:bookmarkEnd w:id="743"/>
      <w:r>
        <w:rPr>
          <w:rFonts w:ascii="Times New Roman;Times;serif" w:hAnsi="Times New Roman;Times;serif"/>
          <w:b/>
          <w:sz w:val="20"/>
        </w:rPr>
        <w:t>Item 4. Mine Safety Disclosures.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744" w:name="Item5OtherInformation_240242"/>
      <w:bookmarkStart w:id="745" w:name="_5fa09402_aa72_4ae5_932a_72f809d80457"/>
      <w:bookmarkEnd w:id="744"/>
      <w:bookmarkEnd w:id="745"/>
      <w:r>
        <w:rPr>
          <w:rFonts w:ascii="Times New Roman;Times;serif" w:hAnsi="Times New Roman;Times;serif"/>
          <w:b/>
          <w:sz w:val="20"/>
        </w:rPr>
        <w:t>Item 5. Other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second quarter of 2026, none of our directors or executive officers adopted or terminated any “Rule 10b5-1 trading arrangement” or “non-Rule 10b5-1 trading arrangement” (as each term is defined in Item 408(a) of Registration S-K).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46" w:name="Item6Exhibits_658679"/>
      <w:bookmarkStart w:id="747" w:name="_300c5053_a5de_4be1_b5c8_f5f93af9a284"/>
      <w:bookmarkEnd w:id="746"/>
      <w:bookmarkEnd w:id="747"/>
      <w:r>
        <w:rPr>
          <w:rFonts w:ascii="Times New Roman;Times;serif" w:hAnsi="Times New Roman;Times;serif"/>
          <w:b/>
          <w:sz w:val="20"/>
        </w:rPr>
        <w:t>Item 6. Exhibits.</w:t>
      </w:r>
    </w:p>
    <w:tbl>
      <w:tblPr>
        <w:tblW w:w="10205" w:type="dxa"/>
        <w:jc w:val="left"/>
        <w:tblInd w:w="0" w:type="dxa"/>
        <w:tblLayout w:type="fixed"/>
        <w:tblCellMar>
          <w:top w:w="0" w:type="dxa"/>
          <w:left w:w="0" w:type="dxa"/>
          <w:bottom w:w="28" w:type="dxa"/>
          <w:right w:w="0" w:type="dxa"/>
        </w:tblCellMar>
      </w:tblPr>
      <w:tblGrid>
        <w:gridCol w:w="841"/>
        <w:gridCol w:w="346"/>
        <w:gridCol w:w="4285"/>
        <w:gridCol w:w="346"/>
        <w:gridCol w:w="616"/>
        <w:gridCol w:w="346"/>
        <w:gridCol w:w="827"/>
        <w:gridCol w:w="346"/>
        <w:gridCol w:w="774"/>
        <w:gridCol w:w="346"/>
        <w:gridCol w:w="1132"/>
      </w:tblGrid>
      <w:tr>
        <w:trPr/>
        <w:tc>
          <w:tcPr>
            <w:tcW w:w="841" w:type="dxa"/>
            <w:tcBorders>
              <w:bottom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tcMar>
              <w:bottom w:w="0" w:type="dxa"/>
            </w:tcMar>
            <w:vAlign w:val="center"/>
          </w:tcPr>
          <w:p>
            <w:pPr>
              <w:pStyle w:val="TableContents"/>
              <w:bidi w:val="0"/>
              <w:spacing w:lineRule="auto" w:line="328" w:before="0" w:after="0"/>
              <w:ind w:left="0" w:right="0" w:hanging="0"/>
              <w:jc w:val="left"/>
              <w:rPr/>
            </w:pPr>
            <w:r>
              <w:rPr/>
              <w:t>  ​ ​ ​</w:t>
            </w:r>
          </w:p>
        </w:tc>
        <w:tc>
          <w:tcPr>
            <w:tcW w:w="4285" w:type="dxa"/>
            <w:tcBorders>
              <w:bottom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346" w:type="dxa"/>
            <w:tcBorders/>
            <w:tcMar>
              <w:bottom w:w="0" w:type="dxa"/>
            </w:tcMar>
            <w:vAlign w:val="center"/>
          </w:tcPr>
          <w:p>
            <w:pPr>
              <w:pStyle w:val="TableContents"/>
              <w:bidi w:val="0"/>
              <w:spacing w:lineRule="auto" w:line="328" w:before="0" w:after="0"/>
              <w:ind w:left="0" w:right="0" w:hanging="0"/>
              <w:jc w:val="center"/>
              <w:rPr/>
            </w:pPr>
            <w:r>
              <w:rPr/>
              <w:t>  ​ ​ ​</w:t>
            </w:r>
          </w:p>
        </w:tc>
        <w:tc>
          <w:tcPr>
            <w:tcW w:w="616" w:type="dxa"/>
            <w:tcBorders>
              <w:bottom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46" w:type="dxa"/>
            <w:tcBorders/>
            <w:tcMar>
              <w:bottom w:w="0" w:type="dxa"/>
            </w:tcMar>
            <w:vAlign w:val="center"/>
          </w:tcPr>
          <w:p>
            <w:pPr>
              <w:pStyle w:val="TableContents"/>
              <w:bidi w:val="0"/>
              <w:spacing w:lineRule="auto" w:line="328" w:before="0" w:after="0"/>
              <w:ind w:left="0" w:right="0" w:hanging="0"/>
              <w:jc w:val="center"/>
              <w:rPr/>
            </w:pPr>
            <w:r>
              <w:rPr/>
              <w:t>  ​ ​ ​</w:t>
            </w:r>
          </w:p>
        </w:tc>
        <w:tc>
          <w:tcPr>
            <w:tcW w:w="827" w:type="dxa"/>
            <w:tcBorders>
              <w:bottom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EXHIBIT </w:t>
              <w:br/>
              <w:t>NUMBER</w:t>
            </w:r>
          </w:p>
        </w:tc>
        <w:tc>
          <w:tcPr>
            <w:tcW w:w="346" w:type="dxa"/>
            <w:tcBorders/>
            <w:tcMar>
              <w:bottom w:w="0" w:type="dxa"/>
            </w:tcMar>
            <w:vAlign w:val="center"/>
          </w:tcPr>
          <w:p>
            <w:pPr>
              <w:pStyle w:val="TableContents"/>
              <w:bidi w:val="0"/>
              <w:spacing w:lineRule="auto" w:line="328" w:before="0" w:after="0"/>
              <w:ind w:left="0" w:right="0" w:hanging="0"/>
              <w:jc w:val="center"/>
              <w:rPr/>
            </w:pPr>
            <w:r>
              <w:rPr/>
              <w:t>  ​ ​ ​</w:t>
            </w:r>
          </w:p>
        </w:tc>
        <w:tc>
          <w:tcPr>
            <w:tcW w:w="774" w:type="dxa"/>
            <w:tcBorders>
              <w:bottom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346" w:type="dxa"/>
            <w:tcBorders/>
            <w:tcMar>
              <w:bottom w:w="0" w:type="dxa"/>
            </w:tcMar>
            <w:vAlign w:val="center"/>
          </w:tcPr>
          <w:p>
            <w:pPr>
              <w:pStyle w:val="TableContents"/>
              <w:bidi w:val="0"/>
              <w:spacing w:lineRule="auto" w:line="328" w:before="0" w:after="0"/>
              <w:ind w:left="0" w:right="0" w:hanging="0"/>
              <w:jc w:val="center"/>
              <w:rPr/>
            </w:pPr>
            <w:r>
              <w:rPr/>
              <w:t>  ​ ​ ​</w:t>
            </w:r>
          </w:p>
        </w:tc>
        <w:tc>
          <w:tcPr>
            <w:tcW w:w="1132" w:type="dxa"/>
            <w:tcBorders>
              <w:bottom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FILED/ </w:t>
              <w:br/>
              <w:t xml:space="preserve">FURNISHED </w:t>
              <w:br/>
              <w:t>HEREWITH</w:t>
            </w:r>
          </w:p>
        </w:tc>
      </w:tr>
      <w:tr>
        <w:trPr/>
        <w:tc>
          <w:tcPr>
            <w:tcW w:w="841" w:type="dxa"/>
            <w:tcBorders>
              <w:top w:val="single" w:sz="2" w:space="0" w:color="000000"/>
            </w:tcBorders>
            <w:tcMar>
              <w:top w:w="28" w:type="dxa"/>
              <w:bottom w:w="0"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4285" w:type="dxa"/>
            <w:tcBorders>
              <w:top w:val="single" w:sz="2" w:space="0" w:color="000000"/>
            </w:tcBorders>
            <w:tcMar>
              <w:top w:w="28" w:type="dxa"/>
              <w:bottom w:w="0" w:type="dxa"/>
            </w:tcMar>
            <w:vAlign w:val="center"/>
          </w:tcPr>
          <w:p>
            <w:pPr>
              <w:pStyle w:val="TableContents"/>
              <w:bidi w:val="0"/>
              <w:spacing w:lineRule="auto" w:line="328"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Articles of Association of Quoin Pharmaceuticals Ltd., as amended</w:t>
              </w:r>
            </w:hyperlink>
          </w:p>
        </w:tc>
        <w:tc>
          <w:tcPr>
            <w:tcW w:w="346" w:type="dxa"/>
            <w:tcBorders/>
            <w:tcMar>
              <w:bottom w:w="0" w:type="dxa"/>
            </w:tcMar>
            <w:vAlign w:val="center"/>
          </w:tcPr>
          <w:p>
            <w:pPr>
              <w:pStyle w:val="TableContents"/>
              <w:bidi w:val="0"/>
              <w:spacing w:lineRule="auto" w:line="328" w:before="0" w:after="0"/>
              <w:ind w:left="0" w:right="0" w:hanging="0"/>
              <w:jc w:val="center"/>
              <w:rPr/>
            </w:pPr>
            <w:r>
              <w:rPr/>
              <w:t>​</w:t>
            </w:r>
          </w:p>
        </w:tc>
        <w:tc>
          <w:tcPr>
            <w:tcW w:w="616" w:type="dxa"/>
            <w:tcBorders>
              <w:top w:val="single" w:sz="2" w:space="0" w:color="000000"/>
            </w:tcBorders>
            <w:tcMar>
              <w:top w:w="28" w:type="dxa"/>
              <w:bottom w:w="0"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346" w:type="dxa"/>
            <w:tcBorders/>
            <w:tcMar>
              <w:bottom w:w="0" w:type="dxa"/>
            </w:tcMar>
            <w:vAlign w:val="center"/>
          </w:tcPr>
          <w:p>
            <w:pPr>
              <w:pStyle w:val="TableContents"/>
              <w:bidi w:val="0"/>
              <w:spacing w:lineRule="auto" w:line="328" w:before="0" w:after="0"/>
              <w:ind w:left="0" w:right="0" w:hanging="0"/>
              <w:jc w:val="center"/>
              <w:rPr/>
            </w:pPr>
            <w:r>
              <w:rPr/>
              <w:t>​</w:t>
            </w:r>
          </w:p>
        </w:tc>
        <w:tc>
          <w:tcPr>
            <w:tcW w:w="827" w:type="dxa"/>
            <w:tcBorders>
              <w:top w:val="single" w:sz="2" w:space="0" w:color="000000"/>
            </w:tcBorders>
            <w:tcMar>
              <w:top w:w="28" w:type="dxa"/>
              <w:bottom w:w="0"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tcMar>
              <w:bottom w:w="0" w:type="dxa"/>
            </w:tcMar>
            <w:vAlign w:val="center"/>
          </w:tcPr>
          <w:p>
            <w:pPr>
              <w:pStyle w:val="TableContents"/>
              <w:bidi w:val="0"/>
              <w:spacing w:lineRule="auto" w:line="328" w:before="0" w:after="0"/>
              <w:ind w:left="0" w:right="0" w:hanging="0"/>
              <w:jc w:val="center"/>
              <w:rPr/>
            </w:pPr>
            <w:r>
              <w:rPr/>
              <w:t>​</w:t>
            </w:r>
          </w:p>
        </w:tc>
        <w:tc>
          <w:tcPr>
            <w:tcW w:w="774" w:type="dxa"/>
            <w:tcBorders>
              <w:top w:val="single" w:sz="2" w:space="0" w:color="000000"/>
            </w:tcBorders>
            <w:tcMar>
              <w:top w:w="28" w:type="dxa"/>
              <w:bottom w:w="0"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March 13, 2025</w:t>
            </w:r>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1132" w:type="dxa"/>
            <w:tcBorders>
              <w:top w:val="single" w:sz="2" w:space="0" w:color="000000"/>
            </w:tcBorders>
            <w:tcMar>
              <w:top w:w="28" w:type="dxa"/>
              <w:bottom w:w="0" w:type="dxa"/>
            </w:tcMar>
            <w:vAlign w:val="center"/>
          </w:tcPr>
          <w:p>
            <w:pPr>
              <w:pStyle w:val="TableContents"/>
              <w:bidi w:val="0"/>
              <w:spacing w:lineRule="auto" w:line="328" w:before="0" w:after="0"/>
              <w:ind w:left="0" w:right="0" w:hanging="0"/>
              <w:jc w:val="left"/>
              <w:rPr/>
            </w:pPr>
            <w:r>
              <w:rPr/>
              <w:t>​</w:t>
            </w:r>
          </w:p>
        </w:tc>
      </w:tr>
      <w:tr>
        <w:trPr/>
        <w:tc>
          <w:tcPr>
            <w:tcW w:w="841" w:type="dxa"/>
            <w:tcBorders/>
            <w:tcMar>
              <w:bottom w:w="0"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4285" w:type="dxa"/>
            <w:tcBorders/>
            <w:tcMar>
              <w:bottom w:w="0" w:type="dxa"/>
            </w:tcMar>
            <w:vAlign w:val="center"/>
          </w:tcPr>
          <w:p>
            <w:pPr>
              <w:pStyle w:val="TableContents"/>
              <w:bidi w:val="0"/>
              <w:spacing w:lineRule="auto" w:line="328"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Amendments to Amended and Restated Articles of Association of Quoin Pharmaceuticals Ltd., adopted on August 21, 2025</w:t>
              </w:r>
            </w:hyperlink>
          </w:p>
        </w:tc>
        <w:tc>
          <w:tcPr>
            <w:tcW w:w="346" w:type="dxa"/>
            <w:tcBorders/>
            <w:tcMar>
              <w:bottom w:w="0" w:type="dxa"/>
            </w:tcMar>
            <w:vAlign w:val="center"/>
          </w:tcPr>
          <w:p>
            <w:pPr>
              <w:pStyle w:val="TableContents"/>
              <w:bidi w:val="0"/>
              <w:spacing w:lineRule="auto" w:line="328" w:before="0" w:after="0"/>
              <w:ind w:left="0" w:right="0" w:hanging="0"/>
              <w:jc w:val="center"/>
              <w:rPr/>
            </w:pPr>
            <w:r>
              <w:rPr/>
              <w:t>​</w:t>
            </w:r>
          </w:p>
        </w:tc>
        <w:tc>
          <w:tcPr>
            <w:tcW w:w="616" w:type="dxa"/>
            <w:tcBorders/>
            <w:tcMar>
              <w:bottom w:w="0"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tcMar>
              <w:bottom w:w="0" w:type="dxa"/>
            </w:tcMar>
            <w:vAlign w:val="center"/>
          </w:tcPr>
          <w:p>
            <w:pPr>
              <w:pStyle w:val="TableContents"/>
              <w:bidi w:val="0"/>
              <w:spacing w:lineRule="auto" w:line="328" w:before="0" w:after="0"/>
              <w:ind w:left="0" w:right="0" w:hanging="0"/>
              <w:jc w:val="center"/>
              <w:rPr/>
            </w:pPr>
            <w:r>
              <w:rPr/>
              <w:t>​</w:t>
            </w:r>
          </w:p>
        </w:tc>
        <w:tc>
          <w:tcPr>
            <w:tcW w:w="827" w:type="dxa"/>
            <w:tcBorders/>
            <w:tcMar>
              <w:bottom w:w="0"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tcMar>
              <w:bottom w:w="0" w:type="dxa"/>
            </w:tcMar>
            <w:vAlign w:val="center"/>
          </w:tcPr>
          <w:p>
            <w:pPr>
              <w:pStyle w:val="TableContents"/>
              <w:bidi w:val="0"/>
              <w:spacing w:lineRule="auto" w:line="328" w:before="0" w:after="0"/>
              <w:ind w:left="0" w:right="0" w:hanging="0"/>
              <w:jc w:val="center"/>
              <w:rPr/>
            </w:pPr>
            <w:r>
              <w:rPr/>
              <w:t>​</w:t>
            </w:r>
          </w:p>
        </w:tc>
        <w:tc>
          <w:tcPr>
            <w:tcW w:w="774" w:type="dxa"/>
            <w:tcBorders/>
            <w:tcMar>
              <w:bottom w:w="0"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August 21, 2025</w:t>
            </w:r>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1132" w:type="dxa"/>
            <w:tcBorders/>
            <w:tcMar>
              <w:bottom w:w="0" w:type="dxa"/>
            </w:tcMar>
            <w:vAlign w:val="center"/>
          </w:tcPr>
          <w:p>
            <w:pPr>
              <w:pStyle w:val="TableContents"/>
              <w:bidi w:val="0"/>
              <w:spacing w:lineRule="auto" w:line="328" w:before="0" w:after="0"/>
              <w:ind w:left="0" w:right="0" w:hanging="0"/>
              <w:jc w:val="left"/>
              <w:rPr/>
            </w:pPr>
            <w:r>
              <w:rPr/>
              <w:t>​</w:t>
            </w:r>
          </w:p>
        </w:tc>
      </w:tr>
      <w:tr>
        <w:trPr/>
        <w:tc>
          <w:tcPr>
            <w:tcW w:w="841" w:type="dxa"/>
            <w:tcBorders/>
            <w:tcMar>
              <w:bottom w:w="0"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4285" w:type="dxa"/>
            <w:tcBorders/>
            <w:tcMar>
              <w:bottom w:w="0" w:type="dxa"/>
            </w:tcMar>
            <w:vAlign w:val="center"/>
          </w:tcPr>
          <w:p>
            <w:pPr>
              <w:pStyle w:val="TableContents"/>
              <w:bidi w:val="0"/>
              <w:spacing w:lineRule="auto" w:line="328" w:before="0" w:after="0"/>
              <w:ind w:left="0" w:right="0" w:hanging="0"/>
              <w:jc w:val="left"/>
              <w:rPr/>
            </w:pPr>
            <w:hyperlink w:anchor="qnrx-20260630xex31d1.htm">
              <w:r>
                <w:rPr>
                  <w:rStyle w:val="InternetLink"/>
                  <w:rFonts w:ascii="Times New Roman;Times;serif" w:hAnsi="Times New Roman;Times;serif"/>
                  <w:b w:val="false"/>
                  <w:i w:val="false"/>
                  <w:caps w:val="false"/>
                  <w:smallCaps w:val="false"/>
                  <w:sz w:val="20"/>
                </w:rPr>
                <w:t>Certification of Chief Executive Officer pursuant to Rule 13a-14(a) or Rule 15d-14(a) under the Securities Exchange Act of 1934.</w:t>
              </w:r>
            </w:hyperlink>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616" w:type="dxa"/>
            <w:tcBorders/>
            <w:tcMar>
              <w:bottom w:w="0" w:type="dxa"/>
            </w:tcMar>
            <w:vAlign w:val="center"/>
          </w:tcPr>
          <w:p>
            <w:pPr>
              <w:pStyle w:val="TableContents"/>
              <w:bidi w:val="0"/>
              <w:spacing w:lineRule="auto" w:line="328" w:before="0" w:after="0"/>
              <w:ind w:left="0" w:right="0" w:hanging="0"/>
              <w:jc w:val="left"/>
              <w:rPr/>
            </w:pPr>
            <w:r>
              <w:rPr/>
              <w:t>​</w:t>
            </w:r>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827" w:type="dxa"/>
            <w:tcBorders/>
            <w:tcMar>
              <w:bottom w:w="0" w:type="dxa"/>
            </w:tcMar>
            <w:vAlign w:val="center"/>
          </w:tcPr>
          <w:p>
            <w:pPr>
              <w:pStyle w:val="TableContents"/>
              <w:bidi w:val="0"/>
              <w:spacing w:lineRule="auto" w:line="328" w:before="0" w:after="0"/>
              <w:ind w:left="0" w:right="0" w:hanging="0"/>
              <w:jc w:val="left"/>
              <w:rPr/>
            </w:pPr>
            <w:r>
              <w:rPr/>
              <w:t>​</w:t>
            </w:r>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774" w:type="dxa"/>
            <w:tcBorders/>
            <w:tcMar>
              <w:bottom w:w="0" w:type="dxa"/>
            </w:tcMar>
            <w:vAlign w:val="center"/>
          </w:tcPr>
          <w:p>
            <w:pPr>
              <w:pStyle w:val="TableContents"/>
              <w:bidi w:val="0"/>
              <w:spacing w:lineRule="auto" w:line="328" w:before="0" w:after="0"/>
              <w:ind w:left="0" w:right="0" w:hanging="0"/>
              <w:jc w:val="left"/>
              <w:rPr/>
            </w:pPr>
            <w:r>
              <w:rPr/>
              <w:t>​</w:t>
            </w:r>
          </w:p>
        </w:tc>
        <w:tc>
          <w:tcPr>
            <w:tcW w:w="346" w:type="dxa"/>
            <w:tcBorders/>
            <w:tcMar>
              <w:bottom w:w="0" w:type="dxa"/>
            </w:tcMar>
            <w:vAlign w:val="center"/>
          </w:tcPr>
          <w:p>
            <w:pPr>
              <w:pStyle w:val="TableContents"/>
              <w:bidi w:val="0"/>
              <w:spacing w:lineRule="auto" w:line="328" w:before="0" w:after="0"/>
              <w:ind w:left="0" w:right="0" w:hanging="0"/>
              <w:jc w:val="center"/>
              <w:rPr/>
            </w:pPr>
            <w:r>
              <w:rPr/>
              <w:t>​</w:t>
            </w:r>
          </w:p>
        </w:tc>
        <w:tc>
          <w:tcPr>
            <w:tcW w:w="1132" w:type="dxa"/>
            <w:tcBorders/>
            <w:tcMar>
              <w:bottom w:w="0" w:type="dxa"/>
            </w:tcMar>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X</w:t>
            </w:r>
          </w:p>
        </w:tc>
      </w:tr>
      <w:tr>
        <w:trPr/>
        <w:tc>
          <w:tcPr>
            <w:tcW w:w="841" w:type="dxa"/>
            <w:tcBorders/>
            <w:tcMar>
              <w:bottom w:w="0"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4285" w:type="dxa"/>
            <w:tcBorders/>
            <w:tcMar>
              <w:bottom w:w="0" w:type="dxa"/>
            </w:tcMar>
            <w:vAlign w:val="center"/>
          </w:tcPr>
          <w:p>
            <w:pPr>
              <w:pStyle w:val="TableContents"/>
              <w:bidi w:val="0"/>
              <w:spacing w:lineRule="auto" w:line="328" w:before="0" w:after="0"/>
              <w:ind w:left="0" w:right="0" w:hanging="0"/>
              <w:jc w:val="left"/>
              <w:rPr/>
            </w:pPr>
            <w:hyperlink w:anchor="qnrx-20260630xex31d2.htm">
              <w:r>
                <w:rPr>
                  <w:rStyle w:val="InternetLink"/>
                  <w:rFonts w:ascii="Times New Roman;Times;serif" w:hAnsi="Times New Roman;Times;serif"/>
                  <w:b w:val="false"/>
                  <w:i w:val="false"/>
                  <w:caps w:val="false"/>
                  <w:smallCaps w:val="false"/>
                  <w:sz w:val="20"/>
                </w:rPr>
                <w:t>Certification of Chief Financial Officer pursuant to Rule 13a-14(a) or Rule 15d-14(a) under the Securities Exchange Act of 1934.</w:t>
              </w:r>
            </w:hyperlink>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616" w:type="dxa"/>
            <w:tcBorders/>
            <w:tcMar>
              <w:bottom w:w="0" w:type="dxa"/>
            </w:tcMar>
            <w:vAlign w:val="center"/>
          </w:tcPr>
          <w:p>
            <w:pPr>
              <w:pStyle w:val="TableContents"/>
              <w:bidi w:val="0"/>
              <w:spacing w:lineRule="auto" w:line="328" w:before="0" w:after="0"/>
              <w:ind w:left="0" w:right="0" w:hanging="0"/>
              <w:jc w:val="left"/>
              <w:rPr/>
            </w:pPr>
            <w:r>
              <w:rPr/>
              <w:t>​</w:t>
            </w:r>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827" w:type="dxa"/>
            <w:tcBorders/>
            <w:tcMar>
              <w:bottom w:w="0" w:type="dxa"/>
            </w:tcMar>
            <w:vAlign w:val="center"/>
          </w:tcPr>
          <w:p>
            <w:pPr>
              <w:pStyle w:val="TableContents"/>
              <w:bidi w:val="0"/>
              <w:spacing w:lineRule="auto" w:line="328" w:before="0" w:after="0"/>
              <w:ind w:left="0" w:right="0" w:hanging="0"/>
              <w:jc w:val="left"/>
              <w:rPr/>
            </w:pPr>
            <w:r>
              <w:rPr/>
              <w:t>​</w:t>
            </w:r>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774" w:type="dxa"/>
            <w:tcBorders/>
            <w:tcMar>
              <w:bottom w:w="0" w:type="dxa"/>
            </w:tcMar>
            <w:vAlign w:val="center"/>
          </w:tcPr>
          <w:p>
            <w:pPr>
              <w:pStyle w:val="TableContents"/>
              <w:bidi w:val="0"/>
              <w:spacing w:lineRule="auto" w:line="328" w:before="0" w:after="0"/>
              <w:ind w:left="0" w:right="0" w:hanging="0"/>
              <w:jc w:val="left"/>
              <w:rPr/>
            </w:pPr>
            <w:r>
              <w:rPr/>
              <w:t>​</w:t>
            </w:r>
          </w:p>
        </w:tc>
        <w:tc>
          <w:tcPr>
            <w:tcW w:w="346" w:type="dxa"/>
            <w:tcBorders/>
            <w:tcMar>
              <w:bottom w:w="0" w:type="dxa"/>
            </w:tcMar>
            <w:vAlign w:val="center"/>
          </w:tcPr>
          <w:p>
            <w:pPr>
              <w:pStyle w:val="TableContents"/>
              <w:bidi w:val="0"/>
              <w:spacing w:lineRule="auto" w:line="328" w:before="0" w:after="0"/>
              <w:ind w:left="0" w:right="0" w:hanging="0"/>
              <w:jc w:val="center"/>
              <w:rPr/>
            </w:pPr>
            <w:r>
              <w:rPr/>
              <w:t>​</w:t>
            </w:r>
          </w:p>
        </w:tc>
        <w:tc>
          <w:tcPr>
            <w:tcW w:w="1132" w:type="dxa"/>
            <w:tcBorders/>
            <w:tcMar>
              <w:bottom w:w="0" w:type="dxa"/>
            </w:tcMar>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X</w:t>
            </w:r>
          </w:p>
        </w:tc>
      </w:tr>
      <w:tr>
        <w:trPr/>
        <w:tc>
          <w:tcPr>
            <w:tcW w:w="841" w:type="dxa"/>
            <w:tcBorders/>
            <w:tcMar>
              <w:bottom w:w="0"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4285" w:type="dxa"/>
            <w:tcBorders/>
            <w:tcMar>
              <w:bottom w:w="0" w:type="dxa"/>
            </w:tcMar>
            <w:vAlign w:val="center"/>
          </w:tcPr>
          <w:p>
            <w:pPr>
              <w:pStyle w:val="TableContents"/>
              <w:bidi w:val="0"/>
              <w:spacing w:lineRule="auto" w:line="328" w:before="0" w:after="0"/>
              <w:ind w:left="0" w:right="0" w:hanging="0"/>
              <w:jc w:val="left"/>
              <w:rPr/>
            </w:pPr>
            <w:hyperlink w:anchor="qnrx-20260630xex32d1.htm">
              <w:r>
                <w:rPr>
                  <w:rStyle w:val="InternetLink"/>
                  <w:rFonts w:ascii="Times New Roman;Times;serif" w:hAnsi="Times New Roman;Times;serif"/>
                  <w:b w:val="false"/>
                  <w:i w:val="false"/>
                  <w:caps w:val="false"/>
                  <w:smallCaps w:val="false"/>
                  <w:sz w:val="20"/>
                </w:rPr>
                <w:t>Certification of Chief Executive Officer pursuant to 18 U.S.C. § 1350.</w:t>
              </w:r>
            </w:hyperlink>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616" w:type="dxa"/>
            <w:tcBorders/>
            <w:tcMar>
              <w:bottom w:w="0" w:type="dxa"/>
            </w:tcMar>
            <w:vAlign w:val="center"/>
          </w:tcPr>
          <w:p>
            <w:pPr>
              <w:pStyle w:val="TableContents"/>
              <w:bidi w:val="0"/>
              <w:spacing w:lineRule="auto" w:line="328" w:before="0" w:after="0"/>
              <w:ind w:left="0" w:right="0" w:hanging="0"/>
              <w:jc w:val="left"/>
              <w:rPr/>
            </w:pPr>
            <w:r>
              <w:rPr/>
              <w:t>​</w:t>
            </w:r>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827" w:type="dxa"/>
            <w:tcBorders/>
            <w:tcMar>
              <w:bottom w:w="0" w:type="dxa"/>
            </w:tcMar>
            <w:vAlign w:val="center"/>
          </w:tcPr>
          <w:p>
            <w:pPr>
              <w:pStyle w:val="TableContents"/>
              <w:bidi w:val="0"/>
              <w:spacing w:lineRule="auto" w:line="328" w:before="0" w:after="0"/>
              <w:ind w:left="0" w:right="0" w:hanging="0"/>
              <w:jc w:val="left"/>
              <w:rPr/>
            </w:pPr>
            <w:r>
              <w:rPr/>
              <w:t>​</w:t>
            </w:r>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774" w:type="dxa"/>
            <w:tcBorders/>
            <w:tcMar>
              <w:bottom w:w="0" w:type="dxa"/>
            </w:tcMar>
            <w:vAlign w:val="center"/>
          </w:tcPr>
          <w:p>
            <w:pPr>
              <w:pStyle w:val="TableContents"/>
              <w:bidi w:val="0"/>
              <w:spacing w:lineRule="auto" w:line="328" w:before="0" w:after="0"/>
              <w:ind w:left="0" w:right="0" w:hanging="0"/>
              <w:jc w:val="left"/>
              <w:rPr/>
            </w:pPr>
            <w:r>
              <w:rPr/>
              <w:t>​</w:t>
            </w:r>
          </w:p>
        </w:tc>
        <w:tc>
          <w:tcPr>
            <w:tcW w:w="346" w:type="dxa"/>
            <w:tcBorders/>
            <w:tcMar>
              <w:bottom w:w="0" w:type="dxa"/>
            </w:tcMar>
            <w:vAlign w:val="center"/>
          </w:tcPr>
          <w:p>
            <w:pPr>
              <w:pStyle w:val="TableContents"/>
              <w:bidi w:val="0"/>
              <w:spacing w:lineRule="auto" w:line="328" w:before="0" w:after="0"/>
              <w:ind w:left="0" w:right="0" w:hanging="0"/>
              <w:jc w:val="center"/>
              <w:rPr/>
            </w:pPr>
            <w:r>
              <w:rPr/>
              <w:t>​</w:t>
            </w:r>
          </w:p>
        </w:tc>
        <w:tc>
          <w:tcPr>
            <w:tcW w:w="1132" w:type="dxa"/>
            <w:tcBorders/>
            <w:tcMar>
              <w:bottom w:w="0" w:type="dxa"/>
            </w:tcMar>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X</w:t>
            </w:r>
          </w:p>
        </w:tc>
      </w:tr>
      <w:tr>
        <w:trPr/>
        <w:tc>
          <w:tcPr>
            <w:tcW w:w="841" w:type="dxa"/>
            <w:tcBorders/>
            <w:tcMar>
              <w:bottom w:w="0"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4285" w:type="dxa"/>
            <w:tcBorders/>
            <w:tcMar>
              <w:bottom w:w="0" w:type="dxa"/>
            </w:tcMar>
            <w:vAlign w:val="center"/>
          </w:tcPr>
          <w:p>
            <w:pPr>
              <w:pStyle w:val="TableContents"/>
              <w:bidi w:val="0"/>
              <w:spacing w:lineRule="auto" w:line="328" w:before="0" w:after="0"/>
              <w:ind w:left="0" w:right="0" w:hanging="0"/>
              <w:jc w:val="left"/>
              <w:rPr/>
            </w:pPr>
            <w:hyperlink w:anchor="qnrx-20260630xex32d2.htm">
              <w:r>
                <w:rPr>
                  <w:rStyle w:val="InternetLink"/>
                  <w:rFonts w:ascii="Times New Roman;Times;serif" w:hAnsi="Times New Roman;Times;serif"/>
                  <w:b w:val="false"/>
                  <w:i w:val="false"/>
                  <w:caps w:val="false"/>
                  <w:smallCaps w:val="false"/>
                  <w:sz w:val="20"/>
                </w:rPr>
                <w:t>Certification of Chief Financial Officer pursuant to 18 U.S.C. § 1350.</w:t>
              </w:r>
            </w:hyperlink>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616" w:type="dxa"/>
            <w:tcBorders/>
            <w:tcMar>
              <w:bottom w:w="0" w:type="dxa"/>
            </w:tcMar>
            <w:vAlign w:val="center"/>
          </w:tcPr>
          <w:p>
            <w:pPr>
              <w:pStyle w:val="TableContents"/>
              <w:bidi w:val="0"/>
              <w:spacing w:lineRule="auto" w:line="328" w:before="0" w:after="0"/>
              <w:ind w:left="0" w:right="0" w:hanging="0"/>
              <w:jc w:val="left"/>
              <w:rPr/>
            </w:pPr>
            <w:r>
              <w:rPr/>
              <w:t>​</w:t>
            </w:r>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827" w:type="dxa"/>
            <w:tcBorders/>
            <w:tcMar>
              <w:bottom w:w="0" w:type="dxa"/>
            </w:tcMar>
            <w:vAlign w:val="center"/>
          </w:tcPr>
          <w:p>
            <w:pPr>
              <w:pStyle w:val="TableContents"/>
              <w:bidi w:val="0"/>
              <w:spacing w:lineRule="auto" w:line="328" w:before="0" w:after="0"/>
              <w:ind w:left="0" w:right="0" w:hanging="0"/>
              <w:jc w:val="left"/>
              <w:rPr/>
            </w:pPr>
            <w:r>
              <w:rPr/>
              <w:t>​</w:t>
            </w:r>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774" w:type="dxa"/>
            <w:tcBorders/>
            <w:tcMar>
              <w:bottom w:w="0" w:type="dxa"/>
            </w:tcMar>
            <w:vAlign w:val="center"/>
          </w:tcPr>
          <w:p>
            <w:pPr>
              <w:pStyle w:val="TableContents"/>
              <w:bidi w:val="0"/>
              <w:spacing w:lineRule="auto" w:line="328" w:before="0" w:after="0"/>
              <w:ind w:left="0" w:right="0" w:hanging="0"/>
              <w:jc w:val="left"/>
              <w:rPr/>
            </w:pPr>
            <w:r>
              <w:rPr/>
              <w:t>​</w:t>
            </w:r>
          </w:p>
        </w:tc>
        <w:tc>
          <w:tcPr>
            <w:tcW w:w="346" w:type="dxa"/>
            <w:tcBorders/>
            <w:tcMar>
              <w:bottom w:w="0" w:type="dxa"/>
            </w:tcMar>
            <w:vAlign w:val="center"/>
          </w:tcPr>
          <w:p>
            <w:pPr>
              <w:pStyle w:val="TableContents"/>
              <w:bidi w:val="0"/>
              <w:spacing w:lineRule="auto" w:line="328" w:before="0" w:after="0"/>
              <w:ind w:left="0" w:right="0" w:hanging="0"/>
              <w:jc w:val="center"/>
              <w:rPr/>
            </w:pPr>
            <w:r>
              <w:rPr/>
              <w:t>​</w:t>
            </w:r>
          </w:p>
        </w:tc>
        <w:tc>
          <w:tcPr>
            <w:tcW w:w="1132" w:type="dxa"/>
            <w:tcBorders/>
            <w:tcMar>
              <w:bottom w:w="0" w:type="dxa"/>
            </w:tcMar>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X</w:t>
            </w:r>
          </w:p>
        </w:tc>
      </w:tr>
      <w:tr>
        <w:trPr/>
        <w:tc>
          <w:tcPr>
            <w:tcW w:w="841" w:type="dxa"/>
            <w:tcBorders/>
            <w:tcMar>
              <w:bottom w:w="0"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4285" w:type="dxa"/>
            <w:tcBorders/>
            <w:tcMar>
              <w:bottom w:w="0"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Information formatted Inline XBRL (eXtensible Business Reporting Language): (i) Consolidated Balance Sheets, (ii) Consolidated Statements of Operations and Other Comprehensive Loss, (iii) Consolidated Statements of Shareholders’ Equity, (iv) Consolidated Statements of Cash Flows, and (v) Notes to Consolidated Financial Statements.</w:t>
            </w:r>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616" w:type="dxa"/>
            <w:tcBorders/>
            <w:tcMar>
              <w:bottom w:w="0" w:type="dxa"/>
            </w:tcMar>
            <w:vAlign w:val="center"/>
          </w:tcPr>
          <w:p>
            <w:pPr>
              <w:pStyle w:val="TableContents"/>
              <w:bidi w:val="0"/>
              <w:spacing w:lineRule="auto" w:line="328" w:before="0" w:after="0"/>
              <w:ind w:left="0" w:right="0" w:hanging="0"/>
              <w:jc w:val="left"/>
              <w:rPr/>
            </w:pPr>
            <w:r>
              <w:rPr/>
              <w:t>​</w:t>
            </w:r>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827" w:type="dxa"/>
            <w:tcBorders/>
            <w:tcMar>
              <w:bottom w:w="0" w:type="dxa"/>
            </w:tcMar>
            <w:vAlign w:val="center"/>
          </w:tcPr>
          <w:p>
            <w:pPr>
              <w:pStyle w:val="TableContents"/>
              <w:bidi w:val="0"/>
              <w:spacing w:lineRule="auto" w:line="328" w:before="0" w:after="0"/>
              <w:ind w:left="0" w:right="0" w:hanging="0"/>
              <w:jc w:val="left"/>
              <w:rPr/>
            </w:pPr>
            <w:r>
              <w:rPr/>
              <w:t>​</w:t>
            </w:r>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774" w:type="dxa"/>
            <w:tcBorders/>
            <w:tcMar>
              <w:bottom w:w="0" w:type="dxa"/>
            </w:tcMar>
            <w:vAlign w:val="center"/>
          </w:tcPr>
          <w:p>
            <w:pPr>
              <w:pStyle w:val="TableContents"/>
              <w:bidi w:val="0"/>
              <w:spacing w:lineRule="auto" w:line="328" w:before="0" w:after="0"/>
              <w:ind w:left="0" w:right="0" w:hanging="0"/>
              <w:jc w:val="left"/>
              <w:rPr/>
            </w:pPr>
            <w:r>
              <w:rPr/>
              <w:t>​</w:t>
            </w:r>
          </w:p>
        </w:tc>
        <w:tc>
          <w:tcPr>
            <w:tcW w:w="346" w:type="dxa"/>
            <w:tcBorders/>
            <w:tcMar>
              <w:bottom w:w="0" w:type="dxa"/>
            </w:tcMar>
            <w:vAlign w:val="center"/>
          </w:tcPr>
          <w:p>
            <w:pPr>
              <w:pStyle w:val="TableContents"/>
              <w:bidi w:val="0"/>
              <w:spacing w:lineRule="auto" w:line="328" w:before="0" w:after="0"/>
              <w:ind w:left="0" w:right="0" w:hanging="0"/>
              <w:jc w:val="center"/>
              <w:rPr/>
            </w:pPr>
            <w:r>
              <w:rPr/>
              <w:t>​</w:t>
            </w:r>
          </w:p>
        </w:tc>
        <w:tc>
          <w:tcPr>
            <w:tcW w:w="1132" w:type="dxa"/>
            <w:tcBorders/>
            <w:tcMar>
              <w:bottom w:w="0" w:type="dxa"/>
            </w:tcMar>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X</w:t>
            </w:r>
          </w:p>
        </w:tc>
      </w:tr>
      <w:tr>
        <w:trPr/>
        <w:tc>
          <w:tcPr>
            <w:tcW w:w="841" w:type="dxa"/>
            <w:tcBorders/>
            <w:tcMar>
              <w:bottom w:w="0"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4285" w:type="dxa"/>
            <w:tcBorders/>
            <w:tcMar>
              <w:bottom w:w="0"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 and included in Exhibit 101)</w:t>
            </w:r>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616" w:type="dxa"/>
            <w:tcBorders/>
            <w:tcMar>
              <w:bottom w:w="0" w:type="dxa"/>
            </w:tcMar>
            <w:vAlign w:val="center"/>
          </w:tcPr>
          <w:p>
            <w:pPr>
              <w:pStyle w:val="TableContents"/>
              <w:bidi w:val="0"/>
              <w:spacing w:lineRule="auto" w:line="328" w:before="0" w:after="0"/>
              <w:ind w:left="0" w:right="0" w:hanging="0"/>
              <w:jc w:val="left"/>
              <w:rPr/>
            </w:pPr>
            <w:r>
              <w:rPr/>
              <w:t>​</w:t>
            </w:r>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827" w:type="dxa"/>
            <w:tcBorders/>
            <w:tcMar>
              <w:bottom w:w="0" w:type="dxa"/>
            </w:tcMar>
            <w:vAlign w:val="center"/>
          </w:tcPr>
          <w:p>
            <w:pPr>
              <w:pStyle w:val="TableContents"/>
              <w:bidi w:val="0"/>
              <w:spacing w:lineRule="auto" w:line="328" w:before="0" w:after="0"/>
              <w:ind w:left="0" w:right="0" w:hanging="0"/>
              <w:jc w:val="left"/>
              <w:rPr/>
            </w:pPr>
            <w:r>
              <w:rPr/>
              <w:t>​</w:t>
            </w:r>
          </w:p>
        </w:tc>
        <w:tc>
          <w:tcPr>
            <w:tcW w:w="346" w:type="dxa"/>
            <w:tcBorders/>
            <w:tcMar>
              <w:bottom w:w="0" w:type="dxa"/>
            </w:tcMar>
            <w:vAlign w:val="center"/>
          </w:tcPr>
          <w:p>
            <w:pPr>
              <w:pStyle w:val="TableContents"/>
              <w:bidi w:val="0"/>
              <w:spacing w:lineRule="auto" w:line="328" w:before="0" w:after="0"/>
              <w:ind w:left="0" w:right="0" w:hanging="0"/>
              <w:jc w:val="left"/>
              <w:rPr/>
            </w:pPr>
            <w:r>
              <w:rPr/>
              <w:t>​</w:t>
            </w:r>
          </w:p>
        </w:tc>
        <w:tc>
          <w:tcPr>
            <w:tcW w:w="774" w:type="dxa"/>
            <w:tcBorders/>
            <w:tcMar>
              <w:bottom w:w="0" w:type="dxa"/>
            </w:tcMar>
            <w:vAlign w:val="center"/>
          </w:tcPr>
          <w:p>
            <w:pPr>
              <w:pStyle w:val="TableContents"/>
              <w:bidi w:val="0"/>
              <w:spacing w:lineRule="auto" w:line="328" w:before="0" w:after="0"/>
              <w:ind w:left="0" w:right="0" w:hanging="0"/>
              <w:jc w:val="left"/>
              <w:rPr/>
            </w:pPr>
            <w:r>
              <w:rPr/>
              <w:t>​</w:t>
            </w:r>
          </w:p>
        </w:tc>
        <w:tc>
          <w:tcPr>
            <w:tcW w:w="346" w:type="dxa"/>
            <w:tcBorders/>
            <w:tcMar>
              <w:bottom w:w="0" w:type="dxa"/>
            </w:tcMar>
            <w:vAlign w:val="center"/>
          </w:tcPr>
          <w:p>
            <w:pPr>
              <w:pStyle w:val="TableContents"/>
              <w:bidi w:val="0"/>
              <w:spacing w:lineRule="auto" w:line="328" w:before="0" w:after="0"/>
              <w:ind w:left="0" w:right="0" w:hanging="0"/>
              <w:jc w:val="center"/>
              <w:rPr/>
            </w:pPr>
            <w:r>
              <w:rPr/>
              <w:t>​</w:t>
            </w:r>
          </w:p>
        </w:tc>
        <w:tc>
          <w:tcPr>
            <w:tcW w:w="1132" w:type="dxa"/>
            <w:tcBorders/>
            <w:tcMar>
              <w:bottom w:w="0" w:type="dxa"/>
            </w:tcMar>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X</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These certifications are not deemed filed by the SEC and are not to be incorporated by reference in any filing we make under the Securities Act of 1933 or the Securities Exchange Act of 1934, irrespective of any general incorporation language in any filings.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48" w:name="SIGNATURES_253006"/>
      <w:bookmarkStart w:id="749" w:name="_94386f14_f0a5_4566_b77a_81722a9b506a"/>
      <w:bookmarkEnd w:id="748"/>
      <w:bookmarkEnd w:id="749"/>
      <w:r>
        <w:rPr>
          <w:rFonts w:ascii="Times New Roman;Times;serif" w:hAnsi="Times New Roman;Times;serif"/>
          <w:b/>
          <w:sz w:val="20"/>
        </w:rPr>
        <w:t>SIGNATURES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4488" w:type="dxa"/>
        <w:jc w:val="left"/>
        <w:tblInd w:w="0" w:type="dxa"/>
        <w:tblLayout w:type="fixed"/>
        <w:tblCellMar>
          <w:top w:w="0" w:type="dxa"/>
          <w:left w:w="0" w:type="dxa"/>
          <w:bottom w:w="0" w:type="dxa"/>
          <w:right w:w="0" w:type="dxa"/>
        </w:tblCellMar>
      </w:tblPr>
      <w:tblGrid>
        <w:gridCol w:w="1471"/>
        <w:gridCol w:w="406"/>
        <w:gridCol w:w="2611"/>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p>
        </w:tc>
        <w:tc>
          <w:tcPr>
            <w:tcW w:w="301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Quoin Pharmaceuticals Ltd.</w:t>
            </w:r>
          </w:p>
        </w:tc>
      </w:tr>
      <w:tr>
        <w:trPr/>
        <w:tc>
          <w:tcPr>
            <w:tcW w:w="147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611" w:type="dxa"/>
            <w:tcBorders/>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14,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Sally Lawlor</w:t>
            </w:r>
          </w:p>
        </w:tc>
      </w:tr>
      <w:tr>
        <w:trPr/>
        <w:tc>
          <w:tcPr>
            <w:tcW w:w="147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6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 Sally Lawlor</w:t>
            </w:r>
          </w:p>
        </w:tc>
      </w:tr>
      <w:tr>
        <w:trPr/>
        <w:tc>
          <w:tcPr>
            <w:tcW w:w="147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6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Title: 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240"/>
        <w:ind w:left="0" w:right="0" w:hanging="0"/>
        <w:jc w:val="right"/>
        <w:rPr>
          <w:rFonts w:ascii="Times New Roman;Times;serif" w:hAnsi="Times New Roman;Times;serif"/>
          <w:b/>
          <w:sz w:val="20"/>
        </w:rPr>
      </w:pPr>
      <w:bookmarkStart w:id="750" w:name="qnrx-20260630xex31d1.htm"/>
      <w:bookmarkStart w:id="751" w:name="ksqnrx20260630xex31d1"/>
      <w:bookmarkEnd w:id="750"/>
      <w:bookmarkEnd w:id="751"/>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RULES 13a-14(a) AND 15d-14(a) UNDER THE SECURITIES EXCHANGE ACT OF 1934,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Dr. Michael Myers, certify that:</w:t>
      </w:r>
    </w:p>
    <w:tbl>
      <w:tblPr>
        <w:tblW w:w="8365" w:type="dxa"/>
        <w:jc w:val="left"/>
        <w:tblInd w:w="0" w:type="dxa"/>
        <w:tblLayout w:type="fixed"/>
        <w:tblCellMar>
          <w:top w:w="0" w:type="dxa"/>
          <w:left w:w="0" w:type="dxa"/>
          <w:bottom w:w="0" w:type="dxa"/>
          <w:right w:w="0" w:type="dxa"/>
        </w:tblCellMar>
      </w:tblPr>
      <w:tblGrid>
        <w:gridCol w:w="170"/>
        <w:gridCol w:w="8195"/>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81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 have reviewed this Quarterly Report on Form 10-Q of Quoin Pharmaceuticals Ltd. (the “registrant”);</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2690" w:type="dxa"/>
        <w:jc w:val="left"/>
        <w:tblInd w:w="0" w:type="dxa"/>
        <w:tblLayout w:type="fixed"/>
        <w:tblCellMar>
          <w:top w:w="0" w:type="dxa"/>
          <w:left w:w="0" w:type="dxa"/>
          <w:bottom w:w="0" w:type="dxa"/>
          <w:right w:w="0" w:type="dxa"/>
        </w:tblCellMar>
      </w:tblPr>
      <w:tblGrid>
        <w:gridCol w:w="2536"/>
        <w:gridCol w:w="154"/>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610360" cy="175260"/>
                      <wp:effectExtent l="0" t="0" r="0" b="0"/>
                      <wp:wrapNone/>
                      <wp:docPr id="178" name="Frame178"/>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97790" cy="175260"/>
                      <wp:effectExtent l="0" t="0" r="0" b="0"/>
                      <wp:wrapNone/>
                      <wp:docPr id="179" name="Frame17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Dr. Michael Myers</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5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Dr. Michael Myers</w:t>
            </w:r>
          </w:p>
        </w:tc>
        <w:tc>
          <w:tcPr>
            <w:tcW w:w="154" w:type="dxa"/>
            <w:tcBorders/>
            <w:vAlign w:val="center"/>
          </w:tcPr>
          <w:p>
            <w:pPr>
              <w:pStyle w:val="TableContents"/>
              <w:bidi w:val="0"/>
              <w:spacing w:before="0" w:after="0"/>
              <w:ind w:left="0" w:right="0" w:hanging="0"/>
              <w:jc w:val="left"/>
              <w:rPr/>
            </w:pPr>
            <w:r>
              <w:rPr/>
              <w:t>​</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14, 2026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52" w:name="qnrx-20260630xex31d2.htm"/>
      <w:bookmarkStart w:id="753" w:name="ksqnrx20260630xex31d2"/>
      <w:bookmarkEnd w:id="752"/>
      <w:bookmarkEnd w:id="753"/>
      <w:r>
        <w:rPr>
          <w:rFonts w:ascii="Times New Roman;Times;serif" w:hAnsi="Times New Roman;Times;serif"/>
          <w:b/>
          <w:sz w:val="20"/>
        </w:rPr>
        <w:t>Exhibit 31.2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RULES 13a-14(a) AND 15d-14(a) UNDER THE SECURITIES EXCHANGE ACT OF 1934,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Sally Lawlor, certify that:</w:t>
      </w:r>
    </w:p>
    <w:tbl>
      <w:tblPr>
        <w:tblW w:w="8365" w:type="dxa"/>
        <w:jc w:val="left"/>
        <w:tblInd w:w="0" w:type="dxa"/>
        <w:tblLayout w:type="fixed"/>
        <w:tblCellMar>
          <w:top w:w="0" w:type="dxa"/>
          <w:left w:w="0" w:type="dxa"/>
          <w:bottom w:w="0" w:type="dxa"/>
          <w:right w:w="0" w:type="dxa"/>
        </w:tblCellMar>
      </w:tblPr>
      <w:tblGrid>
        <w:gridCol w:w="170"/>
        <w:gridCol w:w="8195"/>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81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 have reviewed this Quarterly Report on Form 10-Q of Quoin Pharmaceuticals Ltd. (the “registrant”);</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2630" w:type="dxa"/>
        <w:jc w:val="left"/>
        <w:tblInd w:w="0" w:type="dxa"/>
        <w:tblLayout w:type="fixed"/>
        <w:tblCellMar>
          <w:top w:w="0" w:type="dxa"/>
          <w:left w:w="0" w:type="dxa"/>
          <w:bottom w:w="0" w:type="dxa"/>
          <w:right w:w="0" w:type="dxa"/>
        </w:tblCellMar>
      </w:tblPr>
      <w:tblGrid>
        <w:gridCol w:w="2476"/>
        <w:gridCol w:w="154"/>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572260" cy="146685"/>
                      <wp:effectExtent l="0" t="0" r="0" b="0"/>
                      <wp:wrapNone/>
                      <wp:docPr id="180" name="Frame180"/>
                      <a:graphic xmlns:a="http://schemas.openxmlformats.org/drawingml/2006/main">
                        <a:graphicData uri="http://schemas.microsoft.com/office/word/2010/wordprocessingShape">
                          <wps:wsp>
                            <wps:cNvSpPr txBox="1"/>
                            <wps:spPr>
                              <a:xfrm>
                                <a:off x="0" y="0"/>
                                <a:ext cx="1572260" cy="14668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14</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97790" cy="175260"/>
                      <wp:effectExtent l="0" t="0" r="0" b="0"/>
                      <wp:wrapNone/>
                      <wp:docPr id="181" name="Frame18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Sally Lawlor</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Sally Lawlor</w:t>
            </w:r>
          </w:p>
        </w:tc>
        <w:tc>
          <w:tcPr>
            <w:tcW w:w="154" w:type="dxa"/>
            <w:tcBorders/>
            <w:vAlign w:val="center"/>
          </w:tcPr>
          <w:p>
            <w:pPr>
              <w:pStyle w:val="TableContents"/>
              <w:bidi w:val="0"/>
              <w:spacing w:before="0" w:after="0"/>
              <w:ind w:left="0" w:right="0" w:hanging="0"/>
              <w:jc w:val="left"/>
              <w:rPr/>
            </w:pPr>
            <w:r>
              <w:rPr/>
              <w:t>​</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14, 2026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54" w:name="qnrx-20260630xex32d1.htm"/>
      <w:bookmarkStart w:id="755" w:name="ksqnrx20260630xex32d1"/>
      <w:bookmarkEnd w:id="754"/>
      <w:bookmarkEnd w:id="755"/>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Quarterly Report on Form 10-Q of Quoin Pharmaceuticals Ltd. (the “Company”) for the quarter ended June 30, 2026, as filed with the Securities and Exchange Commission on the date hereof (the “Report”), I, Dr. Michael Myers, Chief Executive Officer of the Company, certify, pursuant to 18 U.S.C. § 1350, as adopted pursuant to § 906 of the Sarbanes-Oxley Act of 2002, that, to the best of my knowledge:</w:t>
      </w:r>
    </w:p>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9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 of operations of the Company.</w:t>
            </w:r>
          </w:p>
        </w:tc>
      </w:tr>
    </w:tbl>
    <w:tbl>
      <w:tblPr>
        <w:tblW w:w="2690" w:type="dxa"/>
        <w:jc w:val="left"/>
        <w:tblInd w:w="0" w:type="dxa"/>
        <w:tblLayout w:type="fixed"/>
        <w:tblCellMar>
          <w:top w:w="0" w:type="dxa"/>
          <w:left w:w="0" w:type="dxa"/>
          <w:bottom w:w="0" w:type="dxa"/>
          <w:right w:w="0" w:type="dxa"/>
        </w:tblCellMar>
      </w:tblPr>
      <w:tblGrid>
        <w:gridCol w:w="2536"/>
        <w:gridCol w:w="154"/>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610360" cy="175260"/>
                      <wp:effectExtent l="0" t="0" r="0" b="0"/>
                      <wp:wrapNone/>
                      <wp:docPr id="182" name="Frame182"/>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97790" cy="175260"/>
                      <wp:effectExtent l="0" t="0" r="0" b="0"/>
                      <wp:wrapNone/>
                      <wp:docPr id="183" name="Frame18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Dr. Michael Myers</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5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Dr. Michael Myers</w:t>
            </w:r>
          </w:p>
        </w:tc>
        <w:tc>
          <w:tcPr>
            <w:tcW w:w="154" w:type="dxa"/>
            <w:tcBorders/>
            <w:vAlign w:val="center"/>
          </w:tcPr>
          <w:p>
            <w:pPr>
              <w:pStyle w:val="TableContents"/>
              <w:bidi w:val="0"/>
              <w:spacing w:before="0" w:after="0"/>
              <w:ind w:left="0" w:right="0" w:hanging="0"/>
              <w:jc w:val="left"/>
              <w:rPr/>
            </w:pPr>
            <w:r>
              <w:rPr/>
              <w:t>​</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14, 2026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56" w:name="qnrx-20260630xex32d2.htm"/>
      <w:bookmarkStart w:id="757" w:name="ksqnrx20260630xex32d2"/>
      <w:bookmarkEnd w:id="756"/>
      <w:bookmarkEnd w:id="757"/>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Quarterly Report on Form 10-Q of Quoin Pharmaceuticals Ltd. (the “Company”) for the quarter ended June 30, 2026, as filed with the Securities and Exchange Commission on the date hereof (the “Report”), I, Sally Lawlor, Chief Financial Officer of the Company, certify, pursuant to 18 U.S.C. § 1350, as adopted pursuant to § 906 of the Sarbanes-Oxley Act of 2002, that, to the best of my knowledge:</w:t>
      </w:r>
    </w:p>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9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 of operations of the Company.</w:t>
            </w:r>
          </w:p>
        </w:tc>
      </w:tr>
    </w:tbl>
    <w:tbl>
      <w:tblPr>
        <w:tblW w:w="2630" w:type="dxa"/>
        <w:jc w:val="left"/>
        <w:tblInd w:w="0" w:type="dxa"/>
        <w:tblLayout w:type="fixed"/>
        <w:tblCellMar>
          <w:top w:w="0" w:type="dxa"/>
          <w:left w:w="0" w:type="dxa"/>
          <w:bottom w:w="0" w:type="dxa"/>
          <w:right w:w="0" w:type="dxa"/>
        </w:tblCellMar>
      </w:tblPr>
      <w:tblGrid>
        <w:gridCol w:w="2476"/>
        <w:gridCol w:w="154"/>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572260" cy="175260"/>
                      <wp:effectExtent l="0" t="0" r="0" b="0"/>
                      <wp:wrapNone/>
                      <wp:docPr id="184" name="Frame184"/>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97790" cy="175260"/>
                      <wp:effectExtent l="0" t="0" r="0" b="0"/>
                      <wp:wrapNone/>
                      <wp:docPr id="185" name="Frame18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Sally Lawlor</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Sally Lawlor</w:t>
            </w:r>
          </w:p>
        </w:tc>
        <w:tc>
          <w:tcPr>
            <w:tcW w:w="154" w:type="dxa"/>
            <w:tcBorders/>
            <w:vAlign w:val="center"/>
          </w:tcPr>
          <w:p>
            <w:pPr>
              <w:pStyle w:val="TableContents"/>
              <w:bidi w:val="0"/>
              <w:spacing w:before="0" w:after="0"/>
              <w:ind w:left="0" w:right="0" w:hanging="0"/>
              <w:jc w:val="left"/>
              <w:rPr/>
            </w:pPr>
            <w:r>
              <w:rPr/>
              <w:t>​</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14, 2026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71502/000141057825000336/qnrx-20241231xex3d1.htm" TargetMode="External"/><Relationship Id="rId3" Type="http://schemas.openxmlformats.org/officeDocument/2006/relationships/hyperlink" Target="https://www.sec.gov/Archives/edgar/data/1671502/000110465925081480/tm2524078d1_ex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14894</Words>
  <Characters>83215</Characters>
  <CharactersWithSpaces>98972</CharactersWithSpaces>
  <Paragraphs>2945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