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719d1_8k.htm"/>
      <w:bookmarkStart w:id="1" w:name="kstm262371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82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August 20, 2026</w:t>
      </w:r>
    </w:p>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28" w:type="dxa"/>
          <w:right w:w="0" w:type="dxa"/>
        </w:tblCellMar>
      </w:tblPr>
      <w:tblGrid>
        <w:gridCol w:w="4850"/>
      </w:tblGrid>
      <w:tr>
        <w:trPr/>
        <w:tc>
          <w:tcPr>
            <w:tcW w:w="48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bookmarkStart w:id="4" w:name="xdx_902_edei--EntityRegistrantName_c2026"/>
            <w:bookmarkEnd w:id="4"/>
            <w:r>
              <w:rPr>
                <w:rFonts w:ascii="Times New Roman;Times;Serif" w:hAnsi="Times New Roman;Times;Serif"/>
                <w:b/>
                <w:sz w:val="28"/>
              </w:rPr>
              <w:t>QUOIN PHARMACEUTICALS LTD.</w:t>
            </w:r>
          </w:p>
        </w:tc>
      </w:tr>
      <w:tr>
        <w:trPr/>
        <w:tc>
          <w:tcPr>
            <w:tcW w:w="4850" w:type="dxa"/>
            <w:tcBorders/>
            <w:tcMar>
              <w:bottom w:w="0" w:type="dxa"/>
            </w:tcMar>
            <w:vAlign w:val="center"/>
          </w:tcPr>
          <w:p>
            <w:pPr>
              <w:pStyle w:val="TableContents"/>
              <w:bidi w:val="0"/>
              <w:spacing w:before="0" w:after="283"/>
              <w:jc w:val="center"/>
              <w:rPr>
                <w:sz w:val="20"/>
              </w:rPr>
            </w:pPr>
            <w:r>
              <w:rPr>
                <w:sz w:val="20"/>
              </w:rPr>
              <w:t>(Translation of registrant’s name into English)</w:t>
            </w:r>
          </w:p>
        </w:tc>
      </w:tr>
    </w:tbl>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of </w:t>
            </w:r>
            <w:bookmarkStart w:id="5" w:name="xdx_905_edei--EntityIncorporationStateCo"/>
            <w:bookmarkEnd w:id="5"/>
            <w:r>
              <w:rPr>
                <w:rFonts w:ascii="Times New Roman;Times;Serif" w:hAnsi="Times New Roman;Times;Serif"/>
                <w:b/>
                <w:sz w:val="20"/>
              </w:rPr>
              <w:t>Israel</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820"/>
            <w:bookmarkEnd w:id="6"/>
            <w:r>
              <w:rPr>
                <w:rFonts w:ascii="Times New Roman;Times;Serif" w:hAnsi="Times New Roman;Times;Serif"/>
                <w:b/>
                <w:sz w:val="20"/>
              </w:rPr>
              <w:t>001-37846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92-2593104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color w:val="FFFFFF"/>
        </w:rPr>
      </w:pPr>
      <w:r>
        <w:rPr>
          <w:caps w:val="false"/>
          <w:smallCaps w:val="false"/>
          <w:color w:val="FFFFFF"/>
        </w:rPr>
        <w:t> </w:t>
      </w:r>
    </w:p>
    <w:tbl>
      <w:tblPr>
        <w:tblW w:w="4375" w:type="dxa"/>
        <w:jc w:val="left"/>
        <w:tblInd w:w="0" w:type="dxa"/>
        <w:tblLayout w:type="fixed"/>
        <w:tblCellMar>
          <w:top w:w="0" w:type="dxa"/>
          <w:left w:w="0" w:type="dxa"/>
          <w:bottom w:w="28" w:type="dxa"/>
          <w:right w:w="0" w:type="dxa"/>
        </w:tblCellMar>
      </w:tblPr>
      <w:tblGrid>
        <w:gridCol w:w="3275"/>
        <w:gridCol w:w="60"/>
        <w:gridCol w:w="1040"/>
      </w:tblGrid>
      <w:tr>
        <w:trPr/>
        <w:tc>
          <w:tcPr>
            <w:tcW w:w="32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42127 Pleasant Forest Court</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Ashburn, </w:t>
            </w:r>
            <w:bookmarkStart w:id="10" w:name="xdx_90D_edei--EntityAddressStateOrProvin"/>
            <w:bookmarkEnd w:id="10"/>
            <w:r>
              <w:rPr>
                <w:rFonts w:ascii="Times New Roman;Times;Serif" w:hAnsi="Times New Roman;Times;Serif"/>
                <w:b/>
                <w:i w:val="false"/>
                <w:caps w:val="false"/>
                <w:smallCaps w:val="false"/>
                <w:sz w:val="20"/>
              </w:rPr>
              <w:t>VA</w:t>
            </w:r>
          </w:p>
        </w:tc>
        <w:tc>
          <w:tcPr>
            <w:tcW w:w="60" w:type="dxa"/>
            <w:tcBorders/>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A_edei--EntityAddressPostalZipCode"/>
            <w:bookmarkEnd w:id="11"/>
            <w:r>
              <w:rPr>
                <w:rFonts w:ascii="Times New Roman;Times;Serif" w:hAnsi="Times New Roman;Times;Serif"/>
                <w:b/>
                <w:sz w:val="20"/>
              </w:rPr>
              <w:t>20148-7349</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2_edei--CityAreaCode_c20260820__20"/>
      <w:bookmarkEnd w:id="12"/>
      <w:r>
        <w:rPr>
          <w:rFonts w:ascii="Times New Roman;Times;Serif" w:hAnsi="Times New Roman;Times;Serif"/>
          <w:b/>
          <w:i w:val="false"/>
          <w:caps w:val="false"/>
          <w:smallCaps w:val="false"/>
          <w:sz w:val="20"/>
        </w:rPr>
        <w:t xml:space="preserve">703) </w:t>
      </w:r>
      <w:bookmarkStart w:id="13" w:name="xdx_90C_edei--LocalPhoneNumber_c20260820"/>
      <w:bookmarkEnd w:id="13"/>
      <w:r>
        <w:rPr>
          <w:rFonts w:ascii="Times New Roman;Times;Serif" w:hAnsi="Times New Roman;Times;Serif"/>
          <w:b/>
          <w:i w:val="false"/>
          <w:caps w:val="false"/>
          <w:smallCaps w:val="false"/>
          <w:sz w:val="20"/>
        </w:rPr>
        <w:t>980-4182</w:t>
      </w:r>
    </w:p>
    <w:p>
      <w:pPr>
        <w:pStyle w:val="TextBody"/>
        <w:bidi w:val="0"/>
        <w:spacing w:before="0" w:after="0"/>
        <w:ind w:left="0" w:right="0" w:hanging="0"/>
        <w:jc w:val="center"/>
        <w:rPr>
          <w:caps w:val="false"/>
          <w:smallCaps w:val="false"/>
        </w:rPr>
      </w:pPr>
      <w:r>
        <w:rPr>
          <w:caps w:val="false"/>
          <w:smallCaps w:val="false"/>
        </w:rPr>
        <w:t> </w:t>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F_edei--SolicitingMaterial_c202608"/>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A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32"/>
        <w:gridCol w:w="60"/>
        <w:gridCol w:w="1354"/>
        <w:gridCol w:w="60"/>
        <w:gridCol w:w="2799"/>
      </w:tblGrid>
      <w:tr>
        <w:trPr/>
        <w:tc>
          <w:tcPr>
            <w:tcW w:w="593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5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Symbol(s) </w:t>
            </w:r>
          </w:p>
        </w:tc>
        <w:tc>
          <w:tcPr>
            <w:tcW w:w="60" w:type="dxa"/>
            <w:tcBorders/>
            <w:tcMar>
              <w:bottom w:w="0" w:type="dxa"/>
            </w:tcMar>
            <w:vAlign w:val="center"/>
          </w:tcPr>
          <w:p>
            <w:pPr>
              <w:pStyle w:val="TableContents"/>
              <w:bidi w:val="0"/>
              <w:spacing w:before="0" w:after="283"/>
              <w:jc w:val="left"/>
              <w:rPr/>
            </w:pPr>
            <w:r>
              <w:rPr/>
              <w:t> </w:t>
            </w:r>
          </w:p>
        </w:tc>
        <w:tc>
          <w:tcPr>
            <w:tcW w:w="279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932"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C_edei--Security12bTitle_c20260820"/>
            <w:bookmarkEnd w:id="18"/>
            <w:r>
              <w:rPr>
                <w:rFonts w:ascii="Times New Roman;Times;Serif" w:hAnsi="Times New Roman;Times;Serif"/>
                <w:sz w:val="20"/>
              </w:rPr>
              <w:t>American Depositary Shares, each representing thirty-five (35) Ordinary Shares, no par value per share</w:t>
            </w:r>
          </w:p>
        </w:tc>
        <w:tc>
          <w:tcPr>
            <w:tcW w:w="60" w:type="dxa"/>
            <w:tcBorders/>
            <w:tcMar>
              <w:bottom w:w="0" w:type="dxa"/>
            </w:tcMar>
            <w:vAlign w:val="center"/>
          </w:tcPr>
          <w:p>
            <w:pPr>
              <w:pStyle w:val="TableContents"/>
              <w:bidi w:val="0"/>
              <w:spacing w:before="0" w:after="283"/>
              <w:jc w:val="left"/>
              <w:rPr/>
            </w:pPr>
            <w:r>
              <w:rPr/>
              <w:t> </w:t>
            </w:r>
          </w:p>
        </w:tc>
        <w:tc>
          <w:tcPr>
            <w:tcW w:w="135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2_edei--TradingSymbol_c20260820__2"/>
            <w:bookmarkEnd w:id="19"/>
            <w:r>
              <w:rPr>
                <w:rFonts w:ascii="Times New Roman;Times;Serif" w:hAnsi="Times New Roman;Times;Serif"/>
                <w:sz w:val="20"/>
              </w:rPr>
              <w:t>QNRX</w:t>
            </w:r>
          </w:p>
        </w:tc>
        <w:tc>
          <w:tcPr>
            <w:tcW w:w="60" w:type="dxa"/>
            <w:tcBorders/>
            <w:tcMar>
              <w:bottom w:w="0" w:type="dxa"/>
            </w:tcMar>
            <w:vAlign w:val="center"/>
          </w:tcPr>
          <w:p>
            <w:pPr>
              <w:pStyle w:val="TableContents"/>
              <w:bidi w:val="0"/>
              <w:spacing w:before="0" w:after="283"/>
              <w:jc w:val="left"/>
              <w:rPr/>
            </w:pPr>
            <w:r>
              <w:rPr/>
              <w:t> </w:t>
            </w:r>
          </w:p>
        </w:tc>
        <w:tc>
          <w:tcPr>
            <w:tcW w:w="2799"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2_edei--SecurityExchangeName_c2026"/>
            <w:bookmarkEnd w:id="20"/>
            <w:r>
              <w:rPr>
                <w:rFonts w:ascii="Times New Roman;Times;Serif" w:hAnsi="Times New Roman;Times;Serif"/>
                <w:sz w:val="20"/>
              </w:rPr>
              <w:t>The Nasdaq Stock Market LLC</w:t>
            </w:r>
          </w:p>
        </w:tc>
      </w:tr>
      <w:tr>
        <w:trPr/>
        <w:tc>
          <w:tcPr>
            <w:tcW w:w="5932" w:type="dxa"/>
            <w:tcBorders/>
            <w:tcMar>
              <w:bottom w:w="0" w:type="dxa"/>
            </w:tcMar>
            <w:vAlign w:val="center"/>
          </w:tcPr>
          <w:p>
            <w:pPr>
              <w:pStyle w:val="TableContents"/>
              <w:bidi w:val="0"/>
              <w:spacing w:before="0" w:after="283"/>
              <w:jc w:val="center"/>
              <w:rPr/>
            </w:pPr>
            <w:r>
              <w:rPr/>
              <w:t>Ordinary Shares, no par value per share*</w:t>
            </w:r>
          </w:p>
        </w:tc>
        <w:tc>
          <w:tcPr>
            <w:tcW w:w="60" w:type="dxa"/>
            <w:tcBorders/>
            <w:tcMar>
              <w:bottom w:w="0" w:type="dxa"/>
            </w:tcMar>
            <w:vAlign w:val="center"/>
          </w:tcPr>
          <w:p>
            <w:pPr>
              <w:pStyle w:val="TableContents"/>
              <w:bidi w:val="0"/>
              <w:spacing w:before="0" w:after="283"/>
              <w:jc w:val="left"/>
              <w:rPr/>
            </w:pPr>
            <w:r>
              <w:rPr/>
              <w:t> </w:t>
            </w:r>
          </w:p>
        </w:tc>
        <w:tc>
          <w:tcPr>
            <w:tcW w:w="135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799" w:type="dxa"/>
            <w:tcBorders/>
            <w:tcMar>
              <w:bottom w:w="0" w:type="dxa"/>
            </w:tcMar>
            <w:vAlign w:val="center"/>
          </w:tcPr>
          <w:p>
            <w:pPr>
              <w:pStyle w:val="TableContents"/>
              <w:bidi w:val="0"/>
              <w:spacing w:before="0" w:after="283"/>
              <w:jc w:val="center"/>
              <w:rPr/>
            </w:pPr>
            <w:r>
              <w:rPr/>
              <w:t>N/A</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Not for trading, but only in connection with the registration of the American Depositary Shares pursuant to requirements of the Securities and Exchange Commission.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to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Quoin Pharmaceuticals Ltd. (“we,” “us,” or the “Company”) held its 2026 Annual General Meeting of Shareholders (the “Annual Meeting”) on August 20, 2026. At the Annual Meeting, shareholders approved changes to the matching contributions payable pursuant to the Company’s 401(k) plan, including to the Company’s U.S.-based executive officers. A summary of the changes to such 401(k) Plan is incorporated herein by reference from page 26 of the Company’s definitive proxy statement on Schedule 14A for the Annual Meeting, which was filed on July 16, 2026, with the Securities and Exchange Commission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the Annual Meeting, on August 20, 2026, shareholders were asked to consider and vote upon five proposals. These matters are described in detail in the Proxy Statement.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the record date of July 15, 2026, there were 70,294,615 ordinary shares issued and outstanding and entitled to vote at the Annual Meeting, represented by 2,008,418 ADSs. For each proposal, the results of the shareholder voting were as follows: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1.</w:t>
            </w:r>
          </w:p>
        </w:tc>
        <w:tc>
          <w:tcPr>
            <w:tcW w:w="10031" w:type="dxa"/>
            <w:tcBorders/>
            <w:vAlign w:val="center"/>
          </w:tcPr>
          <w:p>
            <w:pPr>
              <w:pStyle w:val="TableContents"/>
              <w:bidi w:val="0"/>
              <w:spacing w:before="0" w:after="283"/>
              <w:jc w:val="both"/>
              <w:rPr/>
            </w:pPr>
            <w:r>
              <w:rPr/>
              <w:t>The shareholders elected the following directors to serve as a director of the Company until the Company’s next annual general meeting of shareholders and until such director’s successor is duly elected and qualified, or until such director’s earlier resignation or retirement, based upon the following votes:</w:t>
            </w:r>
          </w:p>
        </w:tc>
      </w:tr>
    </w:tbl>
    <w:p>
      <w:pPr>
        <w:pStyle w:val="TextBody"/>
        <w:bidi w:val="0"/>
        <w:spacing w:before="0" w:after="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2180"/>
        <w:gridCol w:w="1100"/>
        <w:gridCol w:w="980"/>
        <w:gridCol w:w="815"/>
        <w:gridCol w:w="1910"/>
      </w:tblGrid>
      <w:tr>
        <w:trPr/>
        <w:tc>
          <w:tcPr>
            <w:tcW w:w="2180" w:type="dxa"/>
            <w:tcBorders/>
            <w:vAlign w:val="center"/>
          </w:tcPr>
          <w:p>
            <w:pPr>
              <w:pStyle w:val="TableContents"/>
              <w:bidi w:val="0"/>
              <w:spacing w:before="0" w:after="283"/>
              <w:jc w:val="left"/>
              <w:rPr>
                <w:b/>
              </w:rPr>
            </w:pPr>
            <w:r>
              <w:rPr>
                <w:b/>
              </w:rPr>
              <w:t>Directors</w:t>
            </w:r>
          </w:p>
        </w:tc>
        <w:tc>
          <w:tcPr>
            <w:tcW w:w="1100" w:type="dxa"/>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980" w:type="dxa"/>
            <w:tcBorders>
              <w:bottom w:val="single" w:sz="8" w:space="0" w:color="000000"/>
            </w:tcBorders>
            <w:tcMar>
              <w:bottom w:w="28" w:type="dxa"/>
            </w:tcMar>
            <w:vAlign w:val="center"/>
          </w:tcPr>
          <w:p>
            <w:pPr>
              <w:pStyle w:val="TableContents"/>
              <w:bidi w:val="0"/>
              <w:spacing w:before="0" w:after="283"/>
              <w:jc w:val="center"/>
              <w:rPr>
                <w:b/>
              </w:rPr>
            </w:pPr>
            <w:r>
              <w:rPr>
                <w:b/>
              </w:rPr>
              <w:t>Against</w:t>
            </w:r>
          </w:p>
        </w:tc>
        <w:tc>
          <w:tcPr>
            <w:tcW w:w="815" w:type="dxa"/>
            <w:tcBorders>
              <w:bottom w:val="single" w:sz="8" w:space="0" w:color="000000"/>
            </w:tcBorders>
            <w:tcMar>
              <w:bottom w:w="28" w:type="dxa"/>
            </w:tcMar>
            <w:vAlign w:val="center"/>
          </w:tcPr>
          <w:p>
            <w:pPr>
              <w:pStyle w:val="TableContents"/>
              <w:bidi w:val="0"/>
              <w:spacing w:before="0" w:after="283"/>
              <w:jc w:val="center"/>
              <w:rPr>
                <w:b/>
              </w:rPr>
            </w:pPr>
            <w:r>
              <w:rPr>
                <w:b/>
              </w:rPr>
              <w:t>Abstain</w:t>
            </w:r>
          </w:p>
        </w:tc>
        <w:tc>
          <w:tcPr>
            <w:tcW w:w="1910" w:type="dxa"/>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r>
      <w:tr>
        <w:trPr/>
        <w:tc>
          <w:tcPr>
            <w:tcW w:w="2180" w:type="dxa"/>
            <w:tcBorders/>
            <w:shd w:fill="CCEEFF" w:val="clear"/>
            <w:vAlign w:val="center"/>
          </w:tcPr>
          <w:p>
            <w:pPr>
              <w:pStyle w:val="TableContents"/>
              <w:bidi w:val="0"/>
              <w:spacing w:before="0" w:after="283"/>
              <w:jc w:val="left"/>
              <w:rPr/>
            </w:pPr>
            <w:r>
              <w:rPr/>
              <w:t xml:space="preserve">Dr. Michael Myers </w:t>
            </w:r>
          </w:p>
        </w:tc>
        <w:tc>
          <w:tcPr>
            <w:tcW w:w="1100" w:type="dxa"/>
            <w:tcBorders/>
            <w:shd w:fill="CCEEFF" w:val="clear"/>
            <w:vAlign w:val="center"/>
          </w:tcPr>
          <w:p>
            <w:pPr>
              <w:pStyle w:val="TableContents"/>
              <w:bidi w:val="0"/>
              <w:spacing w:before="0" w:after="283"/>
              <w:jc w:val="center"/>
              <w:rPr/>
            </w:pPr>
            <w:r>
              <w:rPr/>
              <w:t>19,774,790</w:t>
            </w:r>
          </w:p>
        </w:tc>
        <w:tc>
          <w:tcPr>
            <w:tcW w:w="980" w:type="dxa"/>
            <w:tcBorders/>
            <w:shd w:fill="CCEEFF" w:val="clear"/>
            <w:vAlign w:val="center"/>
          </w:tcPr>
          <w:p>
            <w:pPr>
              <w:pStyle w:val="TableContents"/>
              <w:bidi w:val="0"/>
              <w:spacing w:before="0" w:after="283"/>
              <w:jc w:val="center"/>
              <w:rPr/>
            </w:pPr>
            <w:r>
              <w:rPr/>
              <w:t>114,660</w:t>
            </w:r>
          </w:p>
        </w:tc>
        <w:tc>
          <w:tcPr>
            <w:tcW w:w="815" w:type="dxa"/>
            <w:tcBorders/>
            <w:shd w:fill="CCEEFF" w:val="clear"/>
            <w:vAlign w:val="center"/>
          </w:tcPr>
          <w:p>
            <w:pPr>
              <w:pStyle w:val="TableContents"/>
              <w:bidi w:val="0"/>
              <w:spacing w:before="0" w:after="283"/>
              <w:jc w:val="center"/>
              <w:rPr/>
            </w:pPr>
            <w:r>
              <w:rPr/>
              <w:t>10,850</w:t>
            </w:r>
          </w:p>
        </w:tc>
        <w:tc>
          <w:tcPr>
            <w:tcW w:w="1910" w:type="dxa"/>
            <w:tcBorders/>
            <w:shd w:fill="CCEEFF" w:val="clear"/>
            <w:vAlign w:val="center"/>
          </w:tcPr>
          <w:p>
            <w:pPr>
              <w:pStyle w:val="TableContents"/>
              <w:bidi w:val="0"/>
              <w:spacing w:before="0" w:after="283"/>
              <w:jc w:val="center"/>
              <w:rPr/>
            </w:pPr>
            <w:r>
              <w:rPr/>
              <w:t>16,285,325</w:t>
            </w:r>
          </w:p>
        </w:tc>
      </w:tr>
      <w:tr>
        <w:trPr/>
        <w:tc>
          <w:tcPr>
            <w:tcW w:w="2180" w:type="dxa"/>
            <w:tcBorders/>
            <w:vAlign w:val="center"/>
          </w:tcPr>
          <w:p>
            <w:pPr>
              <w:pStyle w:val="TableContents"/>
              <w:bidi w:val="0"/>
              <w:spacing w:before="0" w:after="283"/>
              <w:jc w:val="left"/>
              <w:rPr/>
            </w:pPr>
            <w:r>
              <w:rPr/>
              <w:t xml:space="preserve">Denise Carter </w:t>
            </w:r>
          </w:p>
        </w:tc>
        <w:tc>
          <w:tcPr>
            <w:tcW w:w="1100" w:type="dxa"/>
            <w:tcBorders/>
            <w:vAlign w:val="center"/>
          </w:tcPr>
          <w:p>
            <w:pPr>
              <w:pStyle w:val="TableContents"/>
              <w:bidi w:val="0"/>
              <w:spacing w:before="0" w:after="283"/>
              <w:jc w:val="center"/>
              <w:rPr/>
            </w:pPr>
            <w:r>
              <w:rPr/>
              <w:t>19,432,490</w:t>
            </w:r>
          </w:p>
        </w:tc>
        <w:tc>
          <w:tcPr>
            <w:tcW w:w="980" w:type="dxa"/>
            <w:tcBorders/>
            <w:vAlign w:val="center"/>
          </w:tcPr>
          <w:p>
            <w:pPr>
              <w:pStyle w:val="TableContents"/>
              <w:bidi w:val="0"/>
              <w:spacing w:before="0" w:after="283"/>
              <w:jc w:val="center"/>
              <w:rPr/>
            </w:pPr>
            <w:r>
              <w:rPr/>
              <w:t>456,715</w:t>
            </w:r>
          </w:p>
        </w:tc>
        <w:tc>
          <w:tcPr>
            <w:tcW w:w="815" w:type="dxa"/>
            <w:tcBorders/>
            <w:vAlign w:val="center"/>
          </w:tcPr>
          <w:p>
            <w:pPr>
              <w:pStyle w:val="TableContents"/>
              <w:bidi w:val="0"/>
              <w:spacing w:before="0" w:after="283"/>
              <w:jc w:val="center"/>
              <w:rPr/>
            </w:pPr>
            <w:r>
              <w:rPr/>
              <w:t>10,885</w:t>
            </w:r>
          </w:p>
        </w:tc>
        <w:tc>
          <w:tcPr>
            <w:tcW w:w="1910" w:type="dxa"/>
            <w:tcBorders/>
            <w:vAlign w:val="center"/>
          </w:tcPr>
          <w:p>
            <w:pPr>
              <w:pStyle w:val="TableContents"/>
              <w:bidi w:val="0"/>
              <w:spacing w:before="0" w:after="283"/>
              <w:jc w:val="center"/>
              <w:rPr/>
            </w:pPr>
            <w:r>
              <w:rPr/>
              <w:t>16,285,535</w:t>
            </w:r>
          </w:p>
        </w:tc>
      </w:tr>
      <w:tr>
        <w:trPr/>
        <w:tc>
          <w:tcPr>
            <w:tcW w:w="2180" w:type="dxa"/>
            <w:tcBorders/>
            <w:shd w:fill="CCEEFF" w:val="clear"/>
            <w:vAlign w:val="center"/>
          </w:tcPr>
          <w:p>
            <w:pPr>
              <w:pStyle w:val="TableContents"/>
              <w:bidi w:val="0"/>
              <w:spacing w:before="0" w:after="283"/>
              <w:jc w:val="left"/>
              <w:rPr/>
            </w:pPr>
            <w:r>
              <w:rPr/>
              <w:t xml:space="preserve">Joseph Cooper </w:t>
            </w:r>
          </w:p>
        </w:tc>
        <w:tc>
          <w:tcPr>
            <w:tcW w:w="1100" w:type="dxa"/>
            <w:tcBorders/>
            <w:shd w:fill="CCEEFF" w:val="clear"/>
            <w:vAlign w:val="center"/>
          </w:tcPr>
          <w:p>
            <w:pPr>
              <w:pStyle w:val="TableContents"/>
              <w:bidi w:val="0"/>
              <w:spacing w:before="0" w:after="283"/>
              <w:jc w:val="center"/>
              <w:rPr/>
            </w:pPr>
            <w:r>
              <w:rPr/>
              <w:t>19,425,385</w:t>
            </w:r>
          </w:p>
        </w:tc>
        <w:tc>
          <w:tcPr>
            <w:tcW w:w="980" w:type="dxa"/>
            <w:tcBorders/>
            <w:shd w:fill="CCEEFF" w:val="clear"/>
            <w:vAlign w:val="center"/>
          </w:tcPr>
          <w:p>
            <w:pPr>
              <w:pStyle w:val="TableContents"/>
              <w:bidi w:val="0"/>
              <w:spacing w:before="0" w:after="283"/>
              <w:jc w:val="center"/>
              <w:rPr/>
            </w:pPr>
            <w:r>
              <w:rPr/>
              <w:t>464,030</w:t>
            </w:r>
          </w:p>
        </w:tc>
        <w:tc>
          <w:tcPr>
            <w:tcW w:w="815" w:type="dxa"/>
            <w:tcBorders/>
            <w:shd w:fill="CCEEFF" w:val="clear"/>
            <w:vAlign w:val="center"/>
          </w:tcPr>
          <w:p>
            <w:pPr>
              <w:pStyle w:val="TableContents"/>
              <w:bidi w:val="0"/>
              <w:spacing w:before="0" w:after="283"/>
              <w:jc w:val="center"/>
              <w:rPr/>
            </w:pPr>
            <w:r>
              <w:rPr/>
              <w:t>10,885</w:t>
            </w:r>
          </w:p>
        </w:tc>
        <w:tc>
          <w:tcPr>
            <w:tcW w:w="1910" w:type="dxa"/>
            <w:tcBorders/>
            <w:shd w:fill="CCEEFF" w:val="clear"/>
            <w:vAlign w:val="center"/>
          </w:tcPr>
          <w:p>
            <w:pPr>
              <w:pStyle w:val="TableContents"/>
              <w:bidi w:val="0"/>
              <w:spacing w:before="0" w:after="283"/>
              <w:jc w:val="center"/>
              <w:rPr/>
            </w:pPr>
            <w:r>
              <w:rPr/>
              <w:t>16,285,325</w:t>
            </w:r>
          </w:p>
        </w:tc>
      </w:tr>
      <w:tr>
        <w:trPr/>
        <w:tc>
          <w:tcPr>
            <w:tcW w:w="2180" w:type="dxa"/>
            <w:tcBorders/>
            <w:vAlign w:val="center"/>
          </w:tcPr>
          <w:p>
            <w:pPr>
              <w:pStyle w:val="TableContents"/>
              <w:bidi w:val="0"/>
              <w:spacing w:before="0" w:after="283"/>
              <w:jc w:val="left"/>
              <w:rPr/>
            </w:pPr>
            <w:r>
              <w:rPr/>
              <w:t xml:space="preserve">James Culverwell </w:t>
            </w:r>
          </w:p>
        </w:tc>
        <w:tc>
          <w:tcPr>
            <w:tcW w:w="1100" w:type="dxa"/>
            <w:tcBorders/>
            <w:vAlign w:val="center"/>
          </w:tcPr>
          <w:p>
            <w:pPr>
              <w:pStyle w:val="TableContents"/>
              <w:bidi w:val="0"/>
              <w:spacing w:before="0" w:after="283"/>
              <w:jc w:val="center"/>
              <w:rPr/>
            </w:pPr>
            <w:r>
              <w:rPr/>
              <w:t>19,425,315</w:t>
            </w:r>
          </w:p>
        </w:tc>
        <w:tc>
          <w:tcPr>
            <w:tcW w:w="980" w:type="dxa"/>
            <w:tcBorders/>
            <w:vAlign w:val="center"/>
          </w:tcPr>
          <w:p>
            <w:pPr>
              <w:pStyle w:val="TableContents"/>
              <w:bidi w:val="0"/>
              <w:spacing w:before="0" w:after="283"/>
              <w:jc w:val="center"/>
              <w:rPr/>
            </w:pPr>
            <w:r>
              <w:rPr/>
              <w:t>464,100</w:t>
            </w:r>
          </w:p>
        </w:tc>
        <w:tc>
          <w:tcPr>
            <w:tcW w:w="815" w:type="dxa"/>
            <w:tcBorders/>
            <w:vAlign w:val="center"/>
          </w:tcPr>
          <w:p>
            <w:pPr>
              <w:pStyle w:val="TableContents"/>
              <w:bidi w:val="0"/>
              <w:spacing w:before="0" w:after="283"/>
              <w:jc w:val="center"/>
              <w:rPr/>
            </w:pPr>
            <w:r>
              <w:rPr/>
              <w:t>10,885</w:t>
            </w:r>
          </w:p>
        </w:tc>
        <w:tc>
          <w:tcPr>
            <w:tcW w:w="1910" w:type="dxa"/>
            <w:tcBorders/>
            <w:vAlign w:val="center"/>
          </w:tcPr>
          <w:p>
            <w:pPr>
              <w:pStyle w:val="TableContents"/>
              <w:bidi w:val="0"/>
              <w:spacing w:before="0" w:after="283"/>
              <w:jc w:val="center"/>
              <w:rPr/>
            </w:pPr>
            <w:r>
              <w:rPr/>
              <w:t>16,285,325</w:t>
            </w:r>
          </w:p>
        </w:tc>
      </w:tr>
      <w:tr>
        <w:trPr/>
        <w:tc>
          <w:tcPr>
            <w:tcW w:w="2180" w:type="dxa"/>
            <w:tcBorders/>
            <w:shd w:fill="CCEEFF" w:val="clear"/>
            <w:vAlign w:val="center"/>
          </w:tcPr>
          <w:p>
            <w:pPr>
              <w:pStyle w:val="TableContents"/>
              <w:bidi w:val="0"/>
              <w:spacing w:before="0" w:after="283"/>
              <w:jc w:val="left"/>
              <w:rPr/>
            </w:pPr>
            <w:r>
              <w:rPr/>
              <w:t xml:space="preserve">Dr. Dennis H. Langer </w:t>
            </w:r>
          </w:p>
        </w:tc>
        <w:tc>
          <w:tcPr>
            <w:tcW w:w="1100" w:type="dxa"/>
            <w:tcBorders/>
            <w:shd w:fill="CCEEFF" w:val="clear"/>
            <w:vAlign w:val="center"/>
          </w:tcPr>
          <w:p>
            <w:pPr>
              <w:pStyle w:val="TableContents"/>
              <w:bidi w:val="0"/>
              <w:spacing w:before="0" w:after="283"/>
              <w:jc w:val="center"/>
              <w:rPr/>
            </w:pPr>
            <w:r>
              <w:rPr/>
              <w:t>19,425,595</w:t>
            </w:r>
          </w:p>
        </w:tc>
        <w:tc>
          <w:tcPr>
            <w:tcW w:w="980" w:type="dxa"/>
            <w:tcBorders/>
            <w:shd w:fill="CCEEFF" w:val="clear"/>
            <w:vAlign w:val="center"/>
          </w:tcPr>
          <w:p>
            <w:pPr>
              <w:pStyle w:val="TableContents"/>
              <w:bidi w:val="0"/>
              <w:spacing w:before="0" w:after="283"/>
              <w:jc w:val="center"/>
              <w:rPr/>
            </w:pPr>
            <w:r>
              <w:rPr/>
              <w:t>463,820</w:t>
            </w:r>
          </w:p>
        </w:tc>
        <w:tc>
          <w:tcPr>
            <w:tcW w:w="815" w:type="dxa"/>
            <w:tcBorders/>
            <w:shd w:fill="CCEEFF" w:val="clear"/>
            <w:vAlign w:val="center"/>
          </w:tcPr>
          <w:p>
            <w:pPr>
              <w:pStyle w:val="TableContents"/>
              <w:bidi w:val="0"/>
              <w:spacing w:before="0" w:after="283"/>
              <w:jc w:val="center"/>
              <w:rPr/>
            </w:pPr>
            <w:r>
              <w:rPr/>
              <w:t>10,885</w:t>
            </w:r>
          </w:p>
        </w:tc>
        <w:tc>
          <w:tcPr>
            <w:tcW w:w="1910" w:type="dxa"/>
            <w:tcBorders/>
            <w:shd w:fill="CCEEFF" w:val="clear"/>
            <w:vAlign w:val="center"/>
          </w:tcPr>
          <w:p>
            <w:pPr>
              <w:pStyle w:val="TableContents"/>
              <w:bidi w:val="0"/>
              <w:spacing w:before="0" w:after="283"/>
              <w:jc w:val="center"/>
              <w:rPr/>
            </w:pPr>
            <w:r>
              <w:rPr/>
              <w:t>16,285,325</w:t>
            </w:r>
          </w:p>
        </w:tc>
      </w:tr>
      <w:tr>
        <w:trPr/>
        <w:tc>
          <w:tcPr>
            <w:tcW w:w="2180" w:type="dxa"/>
            <w:tcBorders/>
            <w:vAlign w:val="center"/>
          </w:tcPr>
          <w:p>
            <w:pPr>
              <w:pStyle w:val="TableContents"/>
              <w:bidi w:val="0"/>
              <w:spacing w:before="0" w:after="283"/>
              <w:jc w:val="left"/>
              <w:rPr/>
            </w:pPr>
            <w:r>
              <w:rPr/>
              <w:t xml:space="preserve">Natalie Leong </w:t>
            </w:r>
          </w:p>
        </w:tc>
        <w:tc>
          <w:tcPr>
            <w:tcW w:w="1100" w:type="dxa"/>
            <w:tcBorders/>
            <w:vAlign w:val="center"/>
          </w:tcPr>
          <w:p>
            <w:pPr>
              <w:pStyle w:val="TableContents"/>
              <w:bidi w:val="0"/>
              <w:spacing w:before="0" w:after="283"/>
              <w:jc w:val="center"/>
              <w:rPr/>
            </w:pPr>
            <w:r>
              <w:rPr/>
              <w:t>16,807,490</w:t>
            </w:r>
          </w:p>
        </w:tc>
        <w:tc>
          <w:tcPr>
            <w:tcW w:w="980" w:type="dxa"/>
            <w:tcBorders/>
            <w:vAlign w:val="center"/>
          </w:tcPr>
          <w:p>
            <w:pPr>
              <w:pStyle w:val="TableContents"/>
              <w:bidi w:val="0"/>
              <w:spacing w:before="0" w:after="283"/>
              <w:jc w:val="center"/>
              <w:rPr/>
            </w:pPr>
            <w:r>
              <w:rPr/>
              <w:t>3,081,925</w:t>
            </w:r>
          </w:p>
        </w:tc>
        <w:tc>
          <w:tcPr>
            <w:tcW w:w="815" w:type="dxa"/>
            <w:tcBorders/>
            <w:vAlign w:val="center"/>
          </w:tcPr>
          <w:p>
            <w:pPr>
              <w:pStyle w:val="TableContents"/>
              <w:bidi w:val="0"/>
              <w:spacing w:before="0" w:after="283"/>
              <w:jc w:val="center"/>
              <w:rPr/>
            </w:pPr>
            <w:r>
              <w:rPr/>
              <w:t>10,885</w:t>
            </w:r>
          </w:p>
        </w:tc>
        <w:tc>
          <w:tcPr>
            <w:tcW w:w="1910" w:type="dxa"/>
            <w:tcBorders/>
            <w:vAlign w:val="center"/>
          </w:tcPr>
          <w:p>
            <w:pPr>
              <w:pStyle w:val="TableContents"/>
              <w:bidi w:val="0"/>
              <w:spacing w:before="0" w:after="283"/>
              <w:jc w:val="center"/>
              <w:rPr/>
            </w:pPr>
            <w:r>
              <w:rPr/>
              <w:t>16,285,325</w:t>
            </w:r>
          </w:p>
        </w:tc>
      </w:tr>
      <w:tr>
        <w:trPr/>
        <w:tc>
          <w:tcPr>
            <w:tcW w:w="2180" w:type="dxa"/>
            <w:tcBorders/>
            <w:shd w:fill="CCEEFF" w:val="clear"/>
            <w:vAlign w:val="center"/>
          </w:tcPr>
          <w:p>
            <w:pPr>
              <w:pStyle w:val="TableContents"/>
              <w:bidi w:val="0"/>
              <w:spacing w:before="0" w:after="283"/>
              <w:jc w:val="left"/>
              <w:rPr/>
            </w:pPr>
            <w:r>
              <w:rPr/>
              <w:t>Michael Sember</w:t>
            </w:r>
          </w:p>
        </w:tc>
        <w:tc>
          <w:tcPr>
            <w:tcW w:w="1100" w:type="dxa"/>
            <w:tcBorders/>
            <w:shd w:fill="CCEEFF" w:val="clear"/>
            <w:vAlign w:val="center"/>
          </w:tcPr>
          <w:p>
            <w:pPr>
              <w:pStyle w:val="TableContents"/>
              <w:bidi w:val="0"/>
              <w:spacing w:before="0" w:after="283"/>
              <w:jc w:val="center"/>
              <w:rPr/>
            </w:pPr>
            <w:r>
              <w:rPr/>
              <w:t>19,425,385</w:t>
            </w:r>
          </w:p>
        </w:tc>
        <w:tc>
          <w:tcPr>
            <w:tcW w:w="980" w:type="dxa"/>
            <w:tcBorders/>
            <w:shd w:fill="CCEEFF" w:val="clear"/>
            <w:vAlign w:val="center"/>
          </w:tcPr>
          <w:p>
            <w:pPr>
              <w:pStyle w:val="TableContents"/>
              <w:bidi w:val="0"/>
              <w:spacing w:before="0" w:after="283"/>
              <w:jc w:val="center"/>
              <w:rPr/>
            </w:pPr>
            <w:r>
              <w:rPr/>
              <w:t>464,030</w:t>
            </w:r>
          </w:p>
        </w:tc>
        <w:tc>
          <w:tcPr>
            <w:tcW w:w="815" w:type="dxa"/>
            <w:tcBorders/>
            <w:shd w:fill="CCEEFF" w:val="clear"/>
            <w:vAlign w:val="center"/>
          </w:tcPr>
          <w:p>
            <w:pPr>
              <w:pStyle w:val="TableContents"/>
              <w:bidi w:val="0"/>
              <w:spacing w:before="0" w:after="283"/>
              <w:jc w:val="center"/>
              <w:rPr/>
            </w:pPr>
            <w:r>
              <w:rPr/>
              <w:t>10,885</w:t>
            </w:r>
          </w:p>
        </w:tc>
        <w:tc>
          <w:tcPr>
            <w:tcW w:w="1910" w:type="dxa"/>
            <w:tcBorders/>
            <w:shd w:fill="CCEEFF" w:val="clear"/>
            <w:vAlign w:val="center"/>
          </w:tcPr>
          <w:p>
            <w:pPr>
              <w:pStyle w:val="TableContents"/>
              <w:bidi w:val="0"/>
              <w:spacing w:before="0" w:after="283"/>
              <w:jc w:val="center"/>
              <w:rPr/>
            </w:pPr>
            <w:r>
              <w:rPr/>
              <w:t>16,285,325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283"/>
              <w:jc w:val="both"/>
              <w:rPr/>
            </w:pPr>
            <w:r>
              <w:rPr/>
              <w:t>The shareholders approved, on an advisory basis, the terms of the compensation of the Company’s named executive officers, as described in the Proxy Statement, based upon the following votes:</w:t>
            </w:r>
          </w:p>
        </w:tc>
      </w:tr>
    </w:tbl>
    <w:p>
      <w:pPr>
        <w:pStyle w:val="TextBody"/>
        <w:bidi w:val="0"/>
        <w:spacing w:before="0" w:after="0"/>
        <w:jc w:val="left"/>
        <w:rPr>
          <w:caps w:val="false"/>
          <w:smallCaps w:val="false"/>
        </w:rPr>
      </w:pPr>
      <w:r>
        <w:rPr>
          <w:caps w:val="false"/>
          <w:smallCaps w:val="false"/>
        </w:rPr>
        <w:t> </w:t>
      </w:r>
    </w:p>
    <w:tbl>
      <w:tblPr>
        <w:tblW w:w="4805" w:type="dxa"/>
        <w:jc w:val="left"/>
        <w:tblInd w:w="0" w:type="dxa"/>
        <w:tblLayout w:type="fixed"/>
        <w:tblCellMar>
          <w:top w:w="0" w:type="dxa"/>
          <w:left w:w="0" w:type="dxa"/>
          <w:bottom w:w="28" w:type="dxa"/>
          <w:right w:w="0" w:type="dxa"/>
        </w:tblCellMar>
      </w:tblPr>
      <w:tblGrid>
        <w:gridCol w:w="1115"/>
        <w:gridCol w:w="800"/>
        <w:gridCol w:w="980"/>
        <w:gridCol w:w="1910"/>
      </w:tblGrid>
      <w:tr>
        <w:trPr/>
        <w:tc>
          <w:tcPr>
            <w:tcW w:w="1115" w:type="dxa"/>
            <w:tcBorders>
              <w:bottom w:val="single" w:sz="8" w:space="0" w:color="000000"/>
            </w:tcBorders>
            <w:vAlign w:val="center"/>
          </w:tcPr>
          <w:p>
            <w:pPr>
              <w:pStyle w:val="TableContents"/>
              <w:bidi w:val="0"/>
              <w:spacing w:before="0" w:after="283"/>
              <w:jc w:val="center"/>
              <w:rPr>
                <w:b/>
              </w:rPr>
            </w:pPr>
            <w:r>
              <w:rPr>
                <w:b/>
              </w:rPr>
              <w:t>For</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980" w:type="dxa"/>
            <w:tcBorders>
              <w:bottom w:val="single" w:sz="8" w:space="0" w:color="000000"/>
            </w:tcBorders>
            <w:vAlign w:val="center"/>
          </w:tcPr>
          <w:p>
            <w:pPr>
              <w:pStyle w:val="TableContents"/>
              <w:bidi w:val="0"/>
              <w:spacing w:before="0" w:after="283"/>
              <w:jc w:val="center"/>
              <w:rPr>
                <w:b/>
              </w:rPr>
            </w:pPr>
            <w:r>
              <w:rPr>
                <w:b/>
              </w:rPr>
              <w:t>Abstain</w:t>
            </w:r>
          </w:p>
        </w:tc>
        <w:tc>
          <w:tcPr>
            <w:tcW w:w="1910" w:type="dxa"/>
            <w:tcBorders>
              <w:bottom w:val="single" w:sz="8" w:space="0" w:color="000000"/>
            </w:tcBorders>
            <w:vAlign w:val="center"/>
          </w:tcPr>
          <w:p>
            <w:pPr>
              <w:pStyle w:val="TableContents"/>
              <w:bidi w:val="0"/>
              <w:spacing w:before="0" w:after="283"/>
              <w:jc w:val="center"/>
              <w:rPr>
                <w:b/>
              </w:rPr>
            </w:pPr>
            <w:r>
              <w:rPr>
                <w:b/>
              </w:rPr>
              <w:t>Broker Non-Votes</w:t>
            </w:r>
          </w:p>
        </w:tc>
      </w:tr>
      <w:tr>
        <w:trPr/>
        <w:tc>
          <w:tcPr>
            <w:tcW w:w="1115" w:type="dxa"/>
            <w:tcBorders/>
            <w:tcMar>
              <w:bottom w:w="0" w:type="dxa"/>
            </w:tcMar>
            <w:vAlign w:val="center"/>
          </w:tcPr>
          <w:p>
            <w:pPr>
              <w:pStyle w:val="TableContents"/>
              <w:bidi w:val="0"/>
              <w:spacing w:before="0" w:after="283"/>
              <w:jc w:val="center"/>
              <w:rPr/>
            </w:pPr>
            <w:r>
              <w:rPr/>
              <w:t>18,127,445</w:t>
            </w:r>
          </w:p>
        </w:tc>
        <w:tc>
          <w:tcPr>
            <w:tcW w:w="800" w:type="dxa"/>
            <w:tcBorders/>
            <w:tcMar>
              <w:bottom w:w="0" w:type="dxa"/>
            </w:tcMar>
            <w:vAlign w:val="center"/>
          </w:tcPr>
          <w:p>
            <w:pPr>
              <w:pStyle w:val="TableContents"/>
              <w:bidi w:val="0"/>
              <w:spacing w:before="0" w:after="283"/>
              <w:jc w:val="center"/>
              <w:rPr/>
            </w:pPr>
            <w:r>
              <w:rPr/>
              <w:t>556,430</w:t>
            </w:r>
          </w:p>
        </w:tc>
        <w:tc>
          <w:tcPr>
            <w:tcW w:w="980" w:type="dxa"/>
            <w:tcBorders/>
            <w:tcMar>
              <w:bottom w:w="0" w:type="dxa"/>
            </w:tcMar>
            <w:vAlign w:val="center"/>
          </w:tcPr>
          <w:p>
            <w:pPr>
              <w:pStyle w:val="TableContents"/>
              <w:bidi w:val="0"/>
              <w:spacing w:before="0" w:after="283"/>
              <w:jc w:val="center"/>
              <w:rPr/>
            </w:pPr>
            <w:r>
              <w:rPr/>
              <w:t>1,216,425</w:t>
            </w:r>
          </w:p>
        </w:tc>
        <w:tc>
          <w:tcPr>
            <w:tcW w:w="1910" w:type="dxa"/>
            <w:tcBorders/>
            <w:tcMar>
              <w:bottom w:w="0" w:type="dxa"/>
            </w:tcMar>
            <w:vAlign w:val="center"/>
          </w:tcPr>
          <w:p>
            <w:pPr>
              <w:pStyle w:val="TableContents"/>
              <w:bidi w:val="0"/>
              <w:spacing w:before="0" w:after="283"/>
              <w:jc w:val="center"/>
              <w:rPr/>
            </w:pPr>
            <w:r>
              <w:rPr/>
              <w:t>16,285,325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pPr>
            <w:r>
              <w:rPr/>
              <w:t>3.</w:t>
            </w:r>
          </w:p>
        </w:tc>
        <w:tc>
          <w:tcPr>
            <w:tcW w:w="10016" w:type="dxa"/>
            <w:tcBorders/>
            <w:vAlign w:val="center"/>
          </w:tcPr>
          <w:p>
            <w:pPr>
              <w:pStyle w:val="TableContents"/>
              <w:bidi w:val="0"/>
              <w:spacing w:before="0" w:after="283"/>
              <w:jc w:val="both"/>
              <w:rPr/>
            </w:pPr>
            <w:r>
              <w:rPr/>
              <w:t>The shareholders approved changes to the Company’s non-employee directors’ compensation program, as described in the Proxy Statement, based upon the following votes:</w:t>
            </w:r>
          </w:p>
        </w:tc>
      </w:tr>
    </w:tbl>
    <w:p>
      <w:pPr>
        <w:pStyle w:val="TextBody"/>
        <w:bidi w:val="0"/>
        <w:spacing w:before="0" w:after="0"/>
        <w:jc w:val="left"/>
        <w:rPr>
          <w:caps w:val="false"/>
          <w:smallCaps w:val="false"/>
        </w:rPr>
      </w:pPr>
      <w:r>
        <w:rPr>
          <w:caps w:val="false"/>
          <w:smallCaps w:val="false"/>
        </w:rPr>
        <w:t> </w:t>
      </w:r>
    </w:p>
    <w:tbl>
      <w:tblPr>
        <w:tblW w:w="4820" w:type="dxa"/>
        <w:jc w:val="left"/>
        <w:tblInd w:w="0" w:type="dxa"/>
        <w:tblLayout w:type="fixed"/>
        <w:tblCellMar>
          <w:top w:w="0" w:type="dxa"/>
          <w:left w:w="0" w:type="dxa"/>
          <w:bottom w:w="28" w:type="dxa"/>
          <w:right w:w="0" w:type="dxa"/>
        </w:tblCellMar>
      </w:tblPr>
      <w:tblGrid>
        <w:gridCol w:w="1115"/>
        <w:gridCol w:w="980"/>
        <w:gridCol w:w="815"/>
        <w:gridCol w:w="1910"/>
      </w:tblGrid>
      <w:tr>
        <w:trPr/>
        <w:tc>
          <w:tcPr>
            <w:tcW w:w="1115" w:type="dxa"/>
            <w:tcBorders>
              <w:bottom w:val="single" w:sz="8" w:space="0" w:color="000000"/>
            </w:tcBorders>
            <w:vAlign w:val="center"/>
          </w:tcPr>
          <w:p>
            <w:pPr>
              <w:pStyle w:val="TableContents"/>
              <w:bidi w:val="0"/>
              <w:spacing w:before="0" w:after="283"/>
              <w:jc w:val="center"/>
              <w:rPr>
                <w:b/>
              </w:rPr>
            </w:pPr>
            <w:r>
              <w:rPr>
                <w:b/>
              </w:rPr>
              <w:t>For</w:t>
            </w:r>
          </w:p>
        </w:tc>
        <w:tc>
          <w:tcPr>
            <w:tcW w:w="980" w:type="dxa"/>
            <w:tcBorders>
              <w:bottom w:val="single" w:sz="8" w:space="0" w:color="000000"/>
            </w:tcBorders>
            <w:vAlign w:val="center"/>
          </w:tcPr>
          <w:p>
            <w:pPr>
              <w:pStyle w:val="TableContents"/>
              <w:bidi w:val="0"/>
              <w:spacing w:before="0" w:after="283"/>
              <w:jc w:val="center"/>
              <w:rPr>
                <w:b/>
              </w:rPr>
            </w:pPr>
            <w:r>
              <w:rPr>
                <w:b/>
              </w:rPr>
              <w:t>Against</w:t>
            </w:r>
          </w:p>
        </w:tc>
        <w:tc>
          <w:tcPr>
            <w:tcW w:w="815" w:type="dxa"/>
            <w:tcBorders>
              <w:bottom w:val="single" w:sz="8" w:space="0" w:color="000000"/>
            </w:tcBorders>
            <w:vAlign w:val="center"/>
          </w:tcPr>
          <w:p>
            <w:pPr>
              <w:pStyle w:val="TableContents"/>
              <w:bidi w:val="0"/>
              <w:spacing w:before="0" w:after="283"/>
              <w:jc w:val="center"/>
              <w:rPr>
                <w:b/>
              </w:rPr>
            </w:pPr>
            <w:r>
              <w:rPr>
                <w:b/>
              </w:rPr>
              <w:t>Abstain</w:t>
            </w:r>
          </w:p>
        </w:tc>
        <w:tc>
          <w:tcPr>
            <w:tcW w:w="1910" w:type="dxa"/>
            <w:tcBorders>
              <w:bottom w:val="single" w:sz="8" w:space="0" w:color="000000"/>
            </w:tcBorders>
            <w:vAlign w:val="center"/>
          </w:tcPr>
          <w:p>
            <w:pPr>
              <w:pStyle w:val="TableContents"/>
              <w:bidi w:val="0"/>
              <w:spacing w:before="0" w:after="283"/>
              <w:jc w:val="center"/>
              <w:rPr>
                <w:b/>
              </w:rPr>
            </w:pPr>
            <w:r>
              <w:rPr>
                <w:b/>
              </w:rPr>
              <w:t>Broker Non-Votes</w:t>
            </w:r>
          </w:p>
        </w:tc>
      </w:tr>
      <w:tr>
        <w:trPr/>
        <w:tc>
          <w:tcPr>
            <w:tcW w:w="1115" w:type="dxa"/>
            <w:tcBorders/>
            <w:tcMar>
              <w:bottom w:w="0" w:type="dxa"/>
            </w:tcMar>
            <w:vAlign w:val="center"/>
          </w:tcPr>
          <w:p>
            <w:pPr>
              <w:pStyle w:val="TableContents"/>
              <w:bidi w:val="0"/>
              <w:spacing w:before="0" w:after="283"/>
              <w:jc w:val="center"/>
              <w:rPr/>
            </w:pPr>
            <w:r>
              <w:rPr/>
              <w:t>16,365,160</w:t>
            </w:r>
          </w:p>
        </w:tc>
        <w:tc>
          <w:tcPr>
            <w:tcW w:w="980" w:type="dxa"/>
            <w:tcBorders/>
            <w:tcMar>
              <w:bottom w:w="0" w:type="dxa"/>
            </w:tcMar>
            <w:vAlign w:val="center"/>
          </w:tcPr>
          <w:p>
            <w:pPr>
              <w:pStyle w:val="TableContents"/>
              <w:bidi w:val="0"/>
              <w:spacing w:before="0" w:after="283"/>
              <w:jc w:val="center"/>
              <w:rPr/>
            </w:pPr>
            <w:r>
              <w:rPr/>
              <w:t>3,517,080</w:t>
            </w:r>
          </w:p>
        </w:tc>
        <w:tc>
          <w:tcPr>
            <w:tcW w:w="815" w:type="dxa"/>
            <w:tcBorders/>
            <w:tcMar>
              <w:bottom w:w="0" w:type="dxa"/>
            </w:tcMar>
            <w:vAlign w:val="center"/>
          </w:tcPr>
          <w:p>
            <w:pPr>
              <w:pStyle w:val="TableContents"/>
              <w:bidi w:val="0"/>
              <w:spacing w:before="0" w:after="283"/>
              <w:jc w:val="center"/>
              <w:rPr/>
            </w:pPr>
            <w:r>
              <w:rPr/>
              <w:t>18,060</w:t>
            </w:r>
          </w:p>
        </w:tc>
        <w:tc>
          <w:tcPr>
            <w:tcW w:w="1910" w:type="dxa"/>
            <w:tcBorders/>
            <w:tcMar>
              <w:bottom w:w="0" w:type="dxa"/>
            </w:tcMar>
            <w:vAlign w:val="center"/>
          </w:tcPr>
          <w:p>
            <w:pPr>
              <w:pStyle w:val="TableContents"/>
              <w:bidi w:val="0"/>
              <w:spacing w:before="0" w:after="283"/>
              <w:jc w:val="center"/>
              <w:rPr/>
            </w:pPr>
            <w:r>
              <w:rPr/>
              <w:t>16,285,325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4.</w:t>
            </w:r>
          </w:p>
        </w:tc>
        <w:tc>
          <w:tcPr>
            <w:tcW w:w="10026" w:type="dxa"/>
            <w:tcBorders/>
            <w:vAlign w:val="center"/>
          </w:tcPr>
          <w:p>
            <w:pPr>
              <w:pStyle w:val="TableContents"/>
              <w:bidi w:val="0"/>
              <w:spacing w:before="0" w:after="283"/>
              <w:jc w:val="both"/>
              <w:rPr/>
            </w:pPr>
            <w:r>
              <w:rPr/>
              <w:t>The shareholders approved changes to the matching contributions payable pursuant to the Company’s 401(k) plan, including to the Company’s U.S.-based executive officers, as described in the Proxy Statement, based upon the following votes:</w:t>
            </w:r>
          </w:p>
        </w:tc>
      </w:tr>
    </w:tbl>
    <w:p>
      <w:pPr>
        <w:pStyle w:val="TextBody"/>
        <w:bidi w:val="0"/>
        <w:spacing w:before="0" w:after="0"/>
        <w:jc w:val="left"/>
        <w:rPr>
          <w:caps w:val="false"/>
          <w:smallCaps w:val="false"/>
        </w:rPr>
      </w:pPr>
      <w:r>
        <w:rPr>
          <w:caps w:val="false"/>
          <w:smallCaps w:val="false"/>
        </w:rPr>
        <w:t> </w:t>
      </w:r>
    </w:p>
    <w:tbl>
      <w:tblPr>
        <w:tblW w:w="4640" w:type="dxa"/>
        <w:jc w:val="left"/>
        <w:tblInd w:w="0" w:type="dxa"/>
        <w:tblLayout w:type="fixed"/>
        <w:tblCellMar>
          <w:top w:w="0" w:type="dxa"/>
          <w:left w:w="0" w:type="dxa"/>
          <w:bottom w:w="28" w:type="dxa"/>
          <w:right w:w="0" w:type="dxa"/>
        </w:tblCellMar>
      </w:tblPr>
      <w:tblGrid>
        <w:gridCol w:w="1115"/>
        <w:gridCol w:w="800"/>
        <w:gridCol w:w="815"/>
        <w:gridCol w:w="1910"/>
      </w:tblGrid>
      <w:tr>
        <w:trPr/>
        <w:tc>
          <w:tcPr>
            <w:tcW w:w="1115" w:type="dxa"/>
            <w:tcBorders>
              <w:bottom w:val="single" w:sz="8" w:space="0" w:color="000000"/>
            </w:tcBorders>
            <w:vAlign w:val="center"/>
          </w:tcPr>
          <w:p>
            <w:pPr>
              <w:pStyle w:val="TableContents"/>
              <w:bidi w:val="0"/>
              <w:spacing w:before="0" w:after="283"/>
              <w:jc w:val="center"/>
              <w:rPr>
                <w:b/>
              </w:rPr>
            </w:pPr>
            <w:r>
              <w:rPr>
                <w:b/>
              </w:rPr>
              <w:t>For</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815" w:type="dxa"/>
            <w:tcBorders>
              <w:bottom w:val="single" w:sz="8" w:space="0" w:color="000000"/>
            </w:tcBorders>
            <w:vAlign w:val="center"/>
          </w:tcPr>
          <w:p>
            <w:pPr>
              <w:pStyle w:val="TableContents"/>
              <w:bidi w:val="0"/>
              <w:spacing w:before="0" w:after="283"/>
              <w:jc w:val="center"/>
              <w:rPr>
                <w:b/>
              </w:rPr>
            </w:pPr>
            <w:r>
              <w:rPr>
                <w:b/>
              </w:rPr>
              <w:t>Abstain</w:t>
            </w:r>
          </w:p>
        </w:tc>
        <w:tc>
          <w:tcPr>
            <w:tcW w:w="1910" w:type="dxa"/>
            <w:tcBorders>
              <w:bottom w:val="single" w:sz="8" w:space="0" w:color="000000"/>
            </w:tcBorders>
            <w:vAlign w:val="center"/>
          </w:tcPr>
          <w:p>
            <w:pPr>
              <w:pStyle w:val="TableContents"/>
              <w:bidi w:val="0"/>
              <w:spacing w:before="0" w:after="283"/>
              <w:jc w:val="center"/>
              <w:rPr>
                <w:b/>
              </w:rPr>
            </w:pPr>
            <w:r>
              <w:rPr>
                <w:b/>
              </w:rPr>
              <w:t>Broker Non-Votes</w:t>
            </w:r>
          </w:p>
        </w:tc>
      </w:tr>
      <w:tr>
        <w:trPr/>
        <w:tc>
          <w:tcPr>
            <w:tcW w:w="1115" w:type="dxa"/>
            <w:tcBorders/>
            <w:tcMar>
              <w:bottom w:w="0" w:type="dxa"/>
            </w:tcMar>
            <w:vAlign w:val="center"/>
          </w:tcPr>
          <w:p>
            <w:pPr>
              <w:pStyle w:val="TableContents"/>
              <w:bidi w:val="0"/>
              <w:spacing w:before="0" w:after="283"/>
              <w:jc w:val="center"/>
              <w:rPr/>
            </w:pPr>
            <w:r>
              <w:rPr/>
              <w:t>19,245,870</w:t>
            </w:r>
          </w:p>
        </w:tc>
        <w:tc>
          <w:tcPr>
            <w:tcW w:w="800" w:type="dxa"/>
            <w:tcBorders/>
            <w:tcMar>
              <w:bottom w:w="0" w:type="dxa"/>
            </w:tcMar>
            <w:vAlign w:val="center"/>
          </w:tcPr>
          <w:p>
            <w:pPr>
              <w:pStyle w:val="TableContents"/>
              <w:bidi w:val="0"/>
              <w:spacing w:before="0" w:after="283"/>
              <w:jc w:val="center"/>
              <w:rPr/>
            </w:pPr>
            <w:r>
              <w:rPr/>
              <w:t>623,070</w:t>
            </w:r>
          </w:p>
        </w:tc>
        <w:tc>
          <w:tcPr>
            <w:tcW w:w="815" w:type="dxa"/>
            <w:tcBorders/>
            <w:tcMar>
              <w:bottom w:w="0" w:type="dxa"/>
            </w:tcMar>
            <w:vAlign w:val="center"/>
          </w:tcPr>
          <w:p>
            <w:pPr>
              <w:pStyle w:val="TableContents"/>
              <w:bidi w:val="0"/>
              <w:spacing w:before="0" w:after="283"/>
              <w:jc w:val="center"/>
              <w:rPr/>
            </w:pPr>
            <w:r>
              <w:rPr/>
              <w:t>24,465</w:t>
            </w:r>
          </w:p>
        </w:tc>
        <w:tc>
          <w:tcPr>
            <w:tcW w:w="1910" w:type="dxa"/>
            <w:tcBorders/>
            <w:tcMar>
              <w:bottom w:w="0" w:type="dxa"/>
            </w:tcMar>
            <w:vAlign w:val="center"/>
          </w:tcPr>
          <w:p>
            <w:pPr>
              <w:pStyle w:val="TableContents"/>
              <w:bidi w:val="0"/>
              <w:spacing w:before="0" w:after="283"/>
              <w:jc w:val="center"/>
              <w:rPr/>
            </w:pPr>
            <w:r>
              <w:rPr/>
              <w:t>16,292,220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pPr>
            <w:r>
              <w:rPr/>
              <w:t>5.</w:t>
            </w:r>
          </w:p>
        </w:tc>
        <w:tc>
          <w:tcPr>
            <w:tcW w:w="10022" w:type="dxa"/>
            <w:tcBorders/>
            <w:vAlign w:val="center"/>
          </w:tcPr>
          <w:p>
            <w:pPr>
              <w:pStyle w:val="TableContents"/>
              <w:bidi w:val="0"/>
              <w:spacing w:before="0" w:after="283"/>
              <w:jc w:val="both"/>
              <w:rPr/>
            </w:pPr>
            <w:r>
              <w:rPr/>
              <w:t>The appointment of CBIZ CPAs P.C. to serve as the Company’s independent registered public accounting firm until the Company’s next annual general meeting of shareholders, based upon the following votes:</w:t>
            </w:r>
          </w:p>
        </w:tc>
      </w:tr>
    </w:tbl>
    <w:p>
      <w:pPr>
        <w:pStyle w:val="TextBody"/>
        <w:bidi w:val="0"/>
        <w:spacing w:before="0" w:after="0"/>
        <w:jc w:val="left"/>
        <w:rPr>
          <w:caps w:val="false"/>
          <w:smallCaps w:val="false"/>
        </w:rPr>
      </w:pPr>
      <w:r>
        <w:rPr>
          <w:caps w:val="false"/>
          <w:smallCaps w:val="false"/>
        </w:rPr>
        <w:t> </w:t>
      </w:r>
    </w:p>
    <w:tbl>
      <w:tblPr>
        <w:tblW w:w="4640" w:type="dxa"/>
        <w:jc w:val="left"/>
        <w:tblInd w:w="0" w:type="dxa"/>
        <w:tblLayout w:type="fixed"/>
        <w:tblCellMar>
          <w:top w:w="0" w:type="dxa"/>
          <w:left w:w="0" w:type="dxa"/>
          <w:bottom w:w="28" w:type="dxa"/>
          <w:right w:w="0" w:type="dxa"/>
        </w:tblCellMar>
      </w:tblPr>
      <w:tblGrid>
        <w:gridCol w:w="1115"/>
        <w:gridCol w:w="800"/>
        <w:gridCol w:w="815"/>
        <w:gridCol w:w="1910"/>
      </w:tblGrid>
      <w:tr>
        <w:trPr/>
        <w:tc>
          <w:tcPr>
            <w:tcW w:w="1115" w:type="dxa"/>
            <w:tcBorders>
              <w:bottom w:val="single" w:sz="8" w:space="0" w:color="000000"/>
            </w:tcBorders>
            <w:vAlign w:val="center"/>
          </w:tcPr>
          <w:p>
            <w:pPr>
              <w:pStyle w:val="TableContents"/>
              <w:bidi w:val="0"/>
              <w:spacing w:before="0" w:after="283"/>
              <w:jc w:val="center"/>
              <w:rPr>
                <w:b/>
              </w:rPr>
            </w:pPr>
            <w:r>
              <w:rPr>
                <w:b/>
              </w:rPr>
              <w:t>For</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815" w:type="dxa"/>
            <w:tcBorders>
              <w:bottom w:val="single" w:sz="8" w:space="0" w:color="000000"/>
            </w:tcBorders>
            <w:vAlign w:val="center"/>
          </w:tcPr>
          <w:p>
            <w:pPr>
              <w:pStyle w:val="TableContents"/>
              <w:bidi w:val="0"/>
              <w:spacing w:before="0" w:after="283"/>
              <w:jc w:val="center"/>
              <w:rPr>
                <w:b/>
              </w:rPr>
            </w:pPr>
            <w:r>
              <w:rPr>
                <w:b/>
              </w:rPr>
              <w:t>Abstain</w:t>
            </w:r>
          </w:p>
        </w:tc>
        <w:tc>
          <w:tcPr>
            <w:tcW w:w="1910" w:type="dxa"/>
            <w:tcBorders>
              <w:bottom w:val="single" w:sz="8" w:space="0" w:color="000000"/>
            </w:tcBorders>
            <w:vAlign w:val="center"/>
          </w:tcPr>
          <w:p>
            <w:pPr>
              <w:pStyle w:val="TableContents"/>
              <w:bidi w:val="0"/>
              <w:spacing w:before="0" w:after="283"/>
              <w:jc w:val="center"/>
              <w:rPr>
                <w:b/>
              </w:rPr>
            </w:pPr>
            <w:r>
              <w:rPr>
                <w:b/>
              </w:rPr>
              <w:t>Broker Non-Votes</w:t>
            </w:r>
          </w:p>
        </w:tc>
      </w:tr>
      <w:tr>
        <w:trPr/>
        <w:tc>
          <w:tcPr>
            <w:tcW w:w="1115" w:type="dxa"/>
            <w:tcBorders/>
            <w:tcMar>
              <w:bottom w:w="0" w:type="dxa"/>
            </w:tcMar>
            <w:vAlign w:val="center"/>
          </w:tcPr>
          <w:p>
            <w:pPr>
              <w:pStyle w:val="TableContents"/>
              <w:bidi w:val="0"/>
              <w:spacing w:before="0" w:after="283"/>
              <w:jc w:val="center"/>
              <w:rPr/>
            </w:pPr>
            <w:r>
              <w:rPr/>
              <w:t>35,488,320</w:t>
            </w:r>
          </w:p>
        </w:tc>
        <w:tc>
          <w:tcPr>
            <w:tcW w:w="800" w:type="dxa"/>
            <w:tcBorders/>
            <w:tcMar>
              <w:bottom w:w="0" w:type="dxa"/>
            </w:tcMar>
            <w:vAlign w:val="center"/>
          </w:tcPr>
          <w:p>
            <w:pPr>
              <w:pStyle w:val="TableContents"/>
              <w:bidi w:val="0"/>
              <w:spacing w:before="0" w:after="283"/>
              <w:jc w:val="center"/>
              <w:rPr/>
            </w:pPr>
            <w:r>
              <w:rPr/>
              <w:t>697,130</w:t>
            </w:r>
          </w:p>
        </w:tc>
        <w:tc>
          <w:tcPr>
            <w:tcW w:w="815" w:type="dxa"/>
            <w:tcBorders/>
            <w:tcMar>
              <w:bottom w:w="0" w:type="dxa"/>
            </w:tcMar>
            <w:vAlign w:val="center"/>
          </w:tcPr>
          <w:p>
            <w:pPr>
              <w:pStyle w:val="TableContents"/>
              <w:bidi w:val="0"/>
              <w:spacing w:before="0" w:after="283"/>
              <w:jc w:val="center"/>
              <w:rPr/>
            </w:pPr>
            <w:r>
              <w:rPr/>
              <w:t>175</w:t>
            </w:r>
          </w:p>
        </w:tc>
        <w:tc>
          <w:tcPr>
            <w:tcW w:w="1910" w:type="dxa"/>
            <w:tcBorders/>
            <w:tcMar>
              <w:bottom w:w="0" w:type="dxa"/>
            </w:tcMar>
            <w:vAlign w:val="center"/>
          </w:tcPr>
          <w:p>
            <w:pPr>
              <w:pStyle w:val="TableContents"/>
              <w:bidi w:val="0"/>
              <w:spacing w:before="0" w:after="283"/>
              <w:jc w:val="center"/>
              <w:rPr/>
            </w:pPr>
            <w:r>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shareholders approved certain amendments to the Company’s non-employee directors’ compensation program (the “NED Program”), which was previously approved by the Company’s shareholders at the Annual General Meeting held on April 12, 2022 (the “2022 AGM”) and the amendments to the NED Program that were approved by our shareholders at the annual shareholder meetings held in 2023, 2024 and 2025. The amendments to the NED Program approved at the Annual Meeting provide that (i) the annual base retainer be increased to up to $250,000, which amount shall be determined annually at the discretion of the Compensation Committee and the Board; and (ii) the range of values for the annual award of options be increased to no less than $20,000 and no more than $200,000, with such value being determined annually at the discretion of the Compensation Committee and the Board. The remaining terms set forth in the NED Program, as approved at the 2022 AGM and as amended to date, remain unchanged.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64" w:type="dxa"/>
        <w:jc w:val="left"/>
        <w:tblInd w:w="0" w:type="dxa"/>
        <w:tblLayout w:type="fixed"/>
        <w:tblCellMar>
          <w:top w:w="0" w:type="dxa"/>
          <w:left w:w="0" w:type="dxa"/>
          <w:bottom w:w="0" w:type="dxa"/>
          <w:right w:w="0" w:type="dxa"/>
        </w:tblCellMar>
      </w:tblPr>
      <w:tblGrid>
        <w:gridCol w:w="1865"/>
        <w:gridCol w:w="629"/>
        <w:gridCol w:w="257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20, 2026</w:t>
            </w:r>
          </w:p>
        </w:tc>
        <w:tc>
          <w:tcPr>
            <w:tcW w:w="31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QUOIN PHARMACEUTICALS LTD.</w:t>
            </w:r>
          </w:p>
        </w:tc>
      </w:tr>
      <w:tr>
        <w:trPr/>
        <w:tc>
          <w:tcPr>
            <w:tcW w:w="186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0" w:type="dxa"/>
            <w:tcBorders>
              <w:bottom w:val="single" w:sz="8" w:space="0" w:color="000000"/>
            </w:tcBorders>
            <w:tcMar>
              <w:bottom w:w="28" w:type="dxa"/>
            </w:tcMar>
            <w:vAlign w:val="center"/>
          </w:tcPr>
          <w:p>
            <w:pPr>
              <w:pStyle w:val="TableContents"/>
              <w:bidi w:val="0"/>
              <w:spacing w:before="0" w:after="283"/>
              <w:jc w:val="left"/>
              <w:rPr/>
            </w:pPr>
            <w:r>
              <w:rPr/>
              <w:t>/s/ Sally Lawlor</w:t>
            </w:r>
          </w:p>
        </w:tc>
      </w:tr>
      <w:tr>
        <w:trPr/>
        <w:tc>
          <w:tcPr>
            <w:tcW w:w="186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70" w:type="dxa"/>
            <w:tcBorders/>
            <w:vAlign w:val="center"/>
          </w:tcPr>
          <w:p>
            <w:pPr>
              <w:pStyle w:val="TableContents"/>
              <w:bidi w:val="0"/>
              <w:spacing w:before="0" w:after="283"/>
              <w:jc w:val="left"/>
              <w:rPr/>
            </w:pPr>
            <w:r>
              <w:rPr/>
              <w:t>Sally Lawlor</w:t>
            </w:r>
          </w:p>
        </w:tc>
      </w:tr>
      <w:tr>
        <w:trPr/>
        <w:tc>
          <w:tcPr>
            <w:tcW w:w="186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70"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1014</Words>
  <Characters>5764</Characters>
  <CharactersWithSpaces>6714</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