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4615-3_4seq1.xml.htm"/>
      <w:bookmarkStart w:id="1" w:name="kstm26246153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Myers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QUOIN PHARMACEUTICALS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42127 PLEASANT FOREST COURT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ASHBURN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20148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Quoin Pharmaceuticals, Ltd.</w:t>
              </w:r>
            </w:hyperlink>
            <w:r>
              <w:rPr/>
              <w:t xml:space="preserve"> [ </w:t>
            </w:r>
            <w:r>
              <w:rPr>
                <w:rFonts w:ascii="Times;serif" w:hAnsi="Times;serif"/>
                <w:color w:val="0000FF"/>
                <w:sz w:val="24"/>
                <w:shd w:fill="FFFFFF" w:val="clear"/>
              </w:rPr>
              <w:t>QNRX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5"/>
        <w:gridCol w:w="903"/>
        <w:gridCol w:w="772"/>
        <w:gridCol w:w="600"/>
        <w:gridCol w:w="352"/>
        <w:gridCol w:w="939"/>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ADSs</w:t>
            </w:r>
            <w:r>
              <w:rPr>
                <w:rFonts w:ascii="Times;serif" w:hAnsi="Times;serif"/>
                <w:color w:val="008000"/>
                <w:position w:val="7"/>
                <w:sz w:val="16"/>
                <w:sz w:val="20"/>
                <w:shd w:fill="FFFFFF" w:val="clear"/>
              </w:rPr>
              <w:t>(1)</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20,490</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4.88</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37,713</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77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711"/>
        <w:gridCol w:w="276"/>
        <w:gridCol w:w="906"/>
        <w:gridCol w:w="801"/>
        <w:gridCol w:w="576"/>
        <w:gridCol w:w="801"/>
        <w:gridCol w:w="801"/>
        <w:gridCol w:w="936"/>
        <w:gridCol w:w="831"/>
        <w:gridCol w:w="846"/>
      </w:tblGrid>
      <w:tr>
        <w:trPr>
          <w:tblHeader w:val="true"/>
        </w:trPr>
        <w:tc>
          <w:tcPr>
            <w:tcW w:w="117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37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5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Ordinary Warrants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10,245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08/31/2026</w:t>
            </w: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5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ADS</w:t>
            </w: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10,245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10,245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Ordinary Shares are represented by American Depositary Shares ("ADSs"). Each ADS represents thirty-five (35)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Purchased in Issuer's private placement of ADSs with 50% warrant coverage. The ADSs and accompanying ordinary warrants ("Warrants") were issued at a combined purchase price of $4.88.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Warrants were exercisable immediately upon issuance, subject to a beneficial ownership cap.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Warrants will expire on the earlier of (i) five (5) years from the date of issuance or (ii) 30 days after the Issuer's public announcement that the primary endpoint has been met in the clinical trial CL-QRX003-004 for the treatment of Netherton Syndrome.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Myers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9547" TargetMode="External"/><Relationship Id="rId5" Type="http://schemas.openxmlformats.org/officeDocument/2006/relationships/hyperlink" Target="http://www.sec.gov/cgi-bin/browse-edgar?action=getcompany&amp;CIK=00016715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687</Words>
  <Characters>3763</Characters>
  <CharactersWithSpaces>4367</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