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Quoin Pharmaceuticals,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2,785,370.00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2,785,370.00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2,785,370.00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9960"/>
          </w:cols>
          <w:pgMar w:left="360" w:top="111" w:right="4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Quoin Pharmaceuticals,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42127 Pleasant Forest Court, Ashburn, VA 20148-7349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9" w:lineRule="auto"/>
        <w:rPr>
          <w:sz w:val="20"/>
          <w:szCs w:val="20"/>
          <w:color w:val="auto"/>
        </w:rPr>
      </w:pPr>
      <w:r>
        <w:rPr>
          <w:rFonts w:ascii="Times New Roman" w:cs="Times New Roman" w:eastAsia="Times New Roman" w:hAnsi="Times New Roman"/>
          <w:sz w:val="21"/>
          <w:szCs w:val="21"/>
          <w:color w:val="auto"/>
        </w:rPr>
        <w:t>This statement is filed by Woodline Partners LP ("Woodline Partners" or the "Reporting Person"), a Delaware limited partnership, and the investment adviser to Woodline Master Fund LP (the "Woodline Fund"), with respect to the ordinary shares, no par value per share ("Ordinary Shares"), of Quoin Pharmaceuticals, Ltd. (the "Company")</w:t>
      </w:r>
    </w:p>
    <w:p>
      <w:pPr>
        <w:spacing w:after="0" w:line="1" w:lineRule="exact"/>
        <w:rPr>
          <w:sz w:val="20"/>
          <w:szCs w:val="20"/>
          <w:color w:val="auto"/>
        </w:rPr>
      </w:pPr>
    </w:p>
    <w:p>
      <w:pPr>
        <w:ind w:left="920" w:right="6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represented by American Depositary Shares ("ADSs") directly held by the Woodline Fund. There is no CUSIP number assigned to the Ordinary Shares. The CUSIP number 74907L409 has been assigned to the ADSs of the Company, which are quoted on The Nasdaq Capital Market under the symbol "QNRX." Each ADS represents thirty-five Ordinary Shares. The filing of this statement should not be construed as an admission that any of the foregoing persons or the Reporting Person is, for the purposes of Section 13 of the Securities Exchange Act of 1934, the beneficial owner of the Ordinary Shares reported herein.</w:t>
      </w:r>
    </w:p>
    <w:p>
      <w:pPr>
        <w:sectPr>
          <w:pgSz w:w="11900" w:h="16838" w:orient="portrait"/>
          <w:cols w:equalWidth="0" w:num="1">
            <w:col w:w="11080"/>
          </w:cols>
          <w:pgMar w:left="360" w:top="111" w:right="459" w:bottom="0" w:gutter="0" w:footer="0" w:header="0"/>
          <w:type w:val="continuous"/>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Woodline Partners is 4 Embarcadero Center, Suite 3450, San Francisco, CA 94111.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Woodline Partners is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no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10160"/>
          </w:cols>
          <w:pgMar w:left="360" w:top="111" w:right="45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the Reporting Person and is</w:t>
      </w:r>
    </w:p>
    <w:p>
      <w:pPr>
        <w:spacing w:after="0" w:line="14" w:lineRule="exact"/>
        <w:rPr>
          <w:sz w:val="20"/>
          <w:szCs w:val="20"/>
          <w:color w:val="auto"/>
        </w:rPr>
      </w:pPr>
    </w:p>
    <w:p>
      <w:pPr>
        <w:ind w:left="920" w:right="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63,126,930 Ordinary Shares outstanding as of March 23, 2026, as reported in the Company's Annual Report on Form 10-K for the fiscal year ended December 31, 2025, filed with the Securities and Exchange Commission on March 26,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the Reporting Person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Erin Mullen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Erin Mullen, General Counsel &amp;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2026-05-15T08:14:09Z</dcterms:created>
  <dcterms:modified xsi:type="dcterms:W3CDTF">2026-05-15T08:14:09Z</dcterms:modified>
</cp:coreProperties>
</file>