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15-2_4seq1.xml.htm"/>
      <w:bookmarkStart w:id="1" w:name="kstm262461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Lawlor Sally Bridget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QUOIN PHARMACEUTICALS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42127 PLEASANT FOREST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Quoin Pharmaceuticals, Ltd.</w:t>
              </w:r>
            </w:hyperlink>
            <w:r>
              <w:rPr/>
              <w:t xml:space="preserve"> [ </w:t>
            </w:r>
            <w:r>
              <w:rPr>
                <w:rFonts w:ascii="Times;serif" w:hAnsi="Times;serif"/>
                <w:color w:val="0000FF"/>
                <w:sz w:val="24"/>
                <w:shd w:fill="FFFFFF" w:val="clear"/>
              </w:rPr>
              <w:t>QNRX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52"/>
        <w:gridCol w:w="939"/>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10,244</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5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606"/>
        <w:gridCol w:w="276"/>
        <w:gridCol w:w="906"/>
        <w:gridCol w:w="801"/>
        <w:gridCol w:w="576"/>
        <w:gridCol w:w="681"/>
        <w:gridCol w:w="801"/>
        <w:gridCol w:w="936"/>
        <w:gridCol w:w="831"/>
        <w:gridCol w:w="846"/>
      </w:tblGrid>
      <w:tr>
        <w:trPr>
          <w:tblHeader w:val="true"/>
        </w:trPr>
        <w:tc>
          <w:tcPr>
            <w:tcW w:w="115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2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5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Ordinary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08/31/2026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w:t>
            </w:r>
            <w:r>
              <w:rPr>
                <w:rFonts w:ascii="Times;serif" w:hAnsi="Times;serif"/>
                <w:color w:val="008000"/>
                <w:position w:val="7"/>
                <w:sz w:val="16"/>
                <w:sz w:val="20"/>
                <w:shd w:fill="FFFFFF" w:val="clear"/>
              </w:rPr>
              <w:t>(1)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Ordinary Shares are represented by American Depositary Shares ("ADSs"). Each ADS represents thirty-five (35)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Purchased in Issuer's private placement of ADSs with 50% warrant coverage. The ADSs and accompanying ordinary warrants ("Warrants") were issued at a combined purchase price of $4.88.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were exercisable immediately upon issuance, subject to a beneficial ownership cap.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Warrants will expire on the earlier of (i) five (5) years from the date of issuance or (ii) 30 days after the Issuer's public announcement that the primary endpoint has been met in the clinical trial CL-QRX003-004 for the treatment of Netherton Syndrome.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Sally Bridget Lawlor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4407" TargetMode="External"/><Relationship Id="rId5" Type="http://schemas.openxmlformats.org/officeDocument/2006/relationships/hyperlink" Target="http://www.sec.gov/cgi-bin/browse-edgar?action=getcompany&amp;CIK=0001671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3772</Characters>
  <CharactersWithSpaces>4378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