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Quoin Pharmaceuticals,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7,594,166.00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7,594,166.00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7,594,166.00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beneficially own American Depositary Shares ("ADSs").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ADS represents 35 Ordinary Shares of the Issuer. The securities beneficially owned by the reporting persons consist of (1) 53,460 ADSs beneficially owned by the reporting persons, (2) pre-funded warrants to acquire 81,212 ADSs beneficially owned by the reporting persons, and (3) ordinary warrants to acquire 484,848 ADSs beneficially owned by the reporting persons. The pre-funded warrants and ordinary warrants are subject to a 9.99% beneficial ownership limitation. The percentage reported herein is calculated based on 70,294,615 Ordinary Shares, represented by 2,008,417 ADSs, outstanding as of May 5, 2026, as reported in the Form 10-Q for the quarter ended March 31, 2026, plus 1,400,000 Ordinary Shares represented by 40,000 issued to the reporting person on exercise of pre-funded warrants after December 5,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7,594,166.00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7,594,166.00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7,594,166.00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beneficially own ADSs. Each ADS represents 35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Issuer. The securities beneficially owned by the reporting persons consist of (1) 53,460 ADSs beneficially owned by the reporting persons, (2) pre-funded warrants to acquire 81,212 ADSs beneficially owned by the reporting persons, and (3) ordinary warrants to acquire 484,848 ADSs beneficially owned by the reporting persons. The pre-funded warrants and ordinary warrants are subject to a 9.99% beneficial ownership limitation. The percentage reported herein is calculated based on 70,294,615 Ordinary Shares, represented by 2,008,417 ADSs, outstanding as of May 5, 2026, as reported in the Form 10-Q for the quarter ended March 31, 2026, plus 1,400,000 Ordinary Shares represented by 40,000 issued to the reporting person on exercise of pre-funded warrants after December 5,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111"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7,594,166.00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7,594,166.00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7,594,166.00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860"/>
          </w:cols>
          <w:pgMar w:left="320" w:top="111" w:right="559" w:bottom="0" w:gutter="0" w:footer="0" w:header="0"/>
          <w:type w:val="continuous"/>
        </w:sectPr>
      </w:pPr>
    </w:p>
    <w:bookmarkStart w:id="3" w:name="page4"/>
    <w:bookmarkEnd w:id="3"/>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beneficially own ADSs. Each ADS represents 35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Issuer. The securities beneficially owned by the reporting persons consist of (1) 53,460 ADSs beneficially owned by the reporting persons, (2) pre-funded warrants to acquire 81,212 ADSs beneficially owned by the reporting persons, and (3) ordinary warrants to acquire 484,848 ADSs beneficially owned by the reporting persons. The pre-funded warrants and ordinary warrants are subject to a 9.99% beneficial ownership limitation. The percentage reported herein is calculated based on 70,294,615 Ordinary Shares, represented by 2,008,417 ADSs, outstanding as of May 5, 2026, as reported in the Form 10-Q for the quarter ended March 31, 2026, plus 1,400,000 Ordinary Shares represented by 40,000 issued to the reporting person on exercise of pre-funded warrants after December 5,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 M. Plexico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2" w:orient="portrait"/>
          <w:cols w:equalWidth="0" w:num="1">
            <w:col w:w="11020"/>
          </w:cols>
          <w:pgMar w:left="320" w:top="355"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7,594,166.00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7,594,166.00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7,594,166.00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912" w:orient="portrait"/>
          <w:cols w:equalWidth="0" w:num="2">
            <w:col w:w="1100" w:space="60"/>
            <w:col w:w="9860"/>
          </w:cols>
          <w:pgMar w:left="320" w:top="355" w:right="559" w:bottom="0" w:gutter="0" w:footer="0" w:header="0"/>
          <w:type w:val="continuous"/>
        </w:sectPr>
      </w:pPr>
    </w:p>
    <w:p>
      <w:pPr>
        <w:spacing w:after="0" w:line="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reporting persons beneficially own ADSs. Each ADS represents 35 Ordinary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the Issuer. The securities beneficially owned by the reporting persons consist of (1) 53,460 ADSs beneficially owned by the reporting persons, (2) pre-funded warrants to acquire 81,212 ADSs beneficially owned by the reporting persons, and (3) ordinary warrants to acquire 484,848 ADSs beneficially owned by the reporting persons. The pre-funded warrants and ordinary warrants are subject to a 9.99% beneficial ownership limitation. The percentage reported herein is calculated based on</w:t>
      </w:r>
    </w:p>
    <w:p>
      <w:pPr>
        <w:sectPr>
          <w:pgSz w:w="11900" w:h="16912" w:orient="portrait"/>
          <w:cols w:equalWidth="0" w:num="1">
            <w:col w:w="11020"/>
          </w:cols>
          <w:pgMar w:left="320" w:top="355" w:right="559" w:bottom="0" w:gutter="0" w:footer="0" w:header="0"/>
          <w:type w:val="continuous"/>
        </w:sectPr>
      </w:pPr>
    </w:p>
    <w:bookmarkStart w:id="4" w:name="page5"/>
    <w:bookmarkEnd w:id="4"/>
    <w:p>
      <w:pPr>
        <w:ind w:right="180"/>
        <w:spacing w:after="0" w:line="244" w:lineRule="auto"/>
        <w:rPr>
          <w:sz w:val="20"/>
          <w:szCs w:val="20"/>
          <w:color w:val="auto"/>
        </w:rPr>
      </w:pPr>
      <w:r>
        <w:rPr>
          <w:rFonts w:ascii="Times New Roman" w:cs="Times New Roman" w:eastAsia="Times New Roman" w:hAnsi="Times New Roman"/>
          <w:sz w:val="22"/>
          <w:szCs w:val="22"/>
          <w:color w:val="auto"/>
        </w:rPr>
        <w:t>70,294,615 Ordinary Shares, represented by 2,008,417 ADSs, outstanding as of May 5, 2026, as reported in the Form 10-Q for the quarter ended March 31, 2026, plus 1,400,000 Ordinary Shares represented by 40,000 issued to the reporting person on exercise of pre-funded warrants after December 5,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Quoin Pharmaceuticals,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42127 Pleasant Forest Court, Ashburn, VA 20148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00"/>
        <w:spacing w:after="0" w:line="249" w:lineRule="auto"/>
        <w:rPr>
          <w:sz w:val="20"/>
          <w:szCs w:val="20"/>
          <w:color w:val="auto"/>
        </w:rPr>
      </w:pPr>
      <w:r>
        <w:rPr>
          <w:rFonts w:ascii="Times New Roman" w:cs="Times New Roman" w:eastAsia="Times New Roman" w:hAnsi="Times New Roman"/>
          <w:sz w:val="21"/>
          <w:szCs w:val="21"/>
          <w:color w:val="auto"/>
        </w:rPr>
        <w:t>Stonepine Capital Management, LLC, a Delaware limited liability company ("Stonepine") Stonepine Capital, L.P., a Delaware limited partnership (the "Partnership") Stonepine GP, LLC, a Delaware limited liability company (the "General Partner") Jon M. Plexico Stonepine and the General Partner are the investment adviser and general partner,</w:t>
      </w:r>
    </w:p>
    <w:p>
      <w:pPr>
        <w:spacing w:after="0" w:line="1" w:lineRule="exact"/>
        <w:rPr>
          <w:sz w:val="20"/>
          <w:szCs w:val="20"/>
          <w:color w:val="auto"/>
        </w:rPr>
      </w:pPr>
    </w:p>
    <w:p>
      <w:pPr>
        <w:ind w:left="960" w:hanging="912"/>
        <w:spacing w:after="0" w:line="232"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respectively, of the Partnership. Mr. Plexico is the control person of Stonepine and the General Partner. The reporting persons are filing this Schedule 13G jointly, but not as members of a group, and each disclaims membership in a group. Each reporting person also disclaims beneficial ownership of Ordinary Shares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Ordinary Shares covered by this Schedule 13G.</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2900 NW Clearwater Drive, Suite 100-11, Bend OR 97703</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ind w:left="960" w:hanging="912"/>
        <w:spacing w:after="0" w:line="180" w:lineRule="auto"/>
        <w:tabs>
          <w:tab w:leader="none" w:pos="960" w:val="left"/>
        </w:tabs>
        <w:numPr>
          <w:ilvl w:val="0"/>
          <w:numId w:val="9"/>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Stonepine: 7,594,166 Partnership: 7,594,166 General Partner: 7,594,166 Jon M. Plexico: 7,594,166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Stonepine: 9.99% Partnership: 9.99% General Partner: 9.99% Jon M. Plexico: 9.99% %</w:t>
      </w:r>
    </w:p>
    <w:p>
      <w:pPr>
        <w:sectPr>
          <w:pgSz w:w="11900" w:h="16838" w:orient="portrait"/>
          <w:cols w:equalWidth="0" w:num="1">
            <w:col w:w="11140"/>
          </w:cols>
          <w:pgMar w:left="320" w:top="112" w:right="439" w:bottom="0" w:gutter="0" w:footer="0" w:header="0"/>
        </w:sectPr>
      </w:pPr>
    </w:p>
    <w:bookmarkStart w:id="5" w:name="page6"/>
    <w:bookmarkEnd w:id="5"/>
    <w:p>
      <w:pPr>
        <w:spacing w:after="0" w:line="49"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8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0 Partnership: 0 General Partner: 0 Jon M. Plexico: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7,594,166 Partnership: 7,594,166 General Partner: 7,594,166 Jon M. Plexico: 7,594,166</w:t>
      </w:r>
    </w:p>
    <w:p>
      <w:pPr>
        <w:spacing w:after="0" w:line="287" w:lineRule="exact"/>
        <w:rPr>
          <w:sz w:val="20"/>
          <w:szCs w:val="20"/>
          <w:color w:val="auto"/>
        </w:rPr>
      </w:pPr>
    </w:p>
    <w:p>
      <w:pPr>
        <w:ind w:right="4660" w:firstLine="6"/>
        <w:spacing w:after="0" w:line="509" w:lineRule="auto"/>
        <w:tabs>
          <w:tab w:leader="none" w:pos="37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Stonepine: 0 Partnership: 0 General Partner: 0 Jon M. Plexico: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7,594,166 Partnership: 7,594,166 General Partner: 7,594,166 Jon M. Plexico: 7,594,166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Partnership holds ADSs for the benefit of its investors and has the right to receive or the power to direct the receipt of dividends from, or the proceeds from the sale of, ADSs.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the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ectPr>
          <w:pgSz w:w="11900" w:h="16887" w:orient="portrait"/>
          <w:cols w:equalWidth="0" w:num="1">
            <w:col w:w="11140"/>
          </w:cols>
          <w:pgMar w:left="360" w:top="111" w:right="399" w:bottom="0" w:gutter="0" w:footer="0" w:header="0"/>
          <w:type w:val="continuous"/>
        </w:sectPr>
      </w:pPr>
    </w:p>
    <w:bookmarkStart w:id="6" w:name="page7"/>
    <w:bookmarkEnd w:id="6"/>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Jon M. Plexico</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99 - AGREEMENT REGARDING JOINT FILING OF STATEMENT ON SCHEDULE 13D OR 13G</w:t>
      </w:r>
    </w:p>
    <w:p>
      <w:pPr>
        <w:sectPr>
          <w:pgSz w:w="11900" w:h="16838" w:orient="portrait"/>
          <w:cols w:equalWidth="0" w:num="1">
            <w:col w:w="10099"/>
          </w:cols>
          <w:pgMar w:left="360" w:top="153"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color w:val="auto"/>
        </w:rPr>
        <w:t>EXHIBIT 99</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10, 2024</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GP,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GP,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i w:val="1"/>
          <w:iCs w:val="1"/>
          <w:u w:val="single" w:color="auto"/>
          <w:color w:val="auto"/>
        </w:rPr>
        <w:t>/s/ Jon M. Plexico</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2026-05-15T16:30:11Z</dcterms:created>
  <dcterms:modified xsi:type="dcterms:W3CDTF">2026-05-15T16:30:11Z</dcterms:modified>
</cp:coreProperties>
</file>